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17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CM10080089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NEGATOSCOPIO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12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08/Nov/2019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15/Nov/2019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IMAGEN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Cinthia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Lozano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