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Security Architecture Documentation</w:t>
      </w:r>
    </w:p>
    <w:p>
      <w:pPr>
        <w:spacing w:after="100"/>
        <w:jc w:val="center"/>
      </w:pPr>
      <w:r>
        <w:t xml:space="preserve">Secure &amp; Compliant ML Security Pipeline — Milestone 3: Secure Deployment</w:t>
      </w:r>
    </w:p>
    <w:p>
      <w:pPr>
        <w:spacing w:after="400"/>
        <w:jc w:val="center"/>
      </w:pPr>
      <w:r>
        <w:t xml:space="preserve">Author: Ali Yasser — Security &amp; DevSecOps Engineer</w:t>
      </w:r>
    </w:p>
    <w:p>
      <w:pPr>
        <w:pStyle w:val="Heading1"/>
        <w:spacing w:after="150" w:before="300"/>
      </w:pPr>
      <w:r>
        <w:t xml:space="preserve">1. Purpose</w:t>
      </w:r>
    </w:p>
    <w:p>
      <w:pPr>
        <w:spacing w:after="120"/>
      </w:pPr>
      <w:r>
        <w:t xml:space="preserve">This document describes the target production security architecture for deploying the fraud-detection inference service (built on Milestone 2's trained model) to Azure, following Zero Trust principles: no implicit trust between network zones, every identity is verified, and every secret is centrally managed. It covers the network topology, Key Vault integration, and a STRIDE threat model for the deployed system.</w:t>
      </w:r>
    </w:p>
    <w:p>
      <w:pPr>
        <w:pStyle w:val="Heading1"/>
        <w:spacing w:after="150" w:before="300"/>
      </w:pPr>
      <w:r>
        <w:t xml:space="preserve">2. Network Architecture</w:t>
      </w:r>
    </w:p>
    <w:p>
      <w:pPr>
        <w:spacing w:after="120"/>
      </w:pPr>
      <w:r>
        <w:t xml:space="preserve">The diagram below shows the trust boundaries between the public internet, the DMZ (Application Gateway with WAF), the private AKS workload subnet, and the private-endpoint subnet reserved for Azure Key Vault. No component other than the Application Gateway has a public IP.</w:t>
      </w:r>
    </w:p>
    <w:p>
      <w:pPr>
        <w:spacing w:after="200"/>
        <w:jc w:val="center"/>
      </w:pPr>
      <w:r>
        <w:drawing>
          <wp:inline distT="0" distB="0" distL="0" distR="0">
            <wp:extent cx="5715000" cy="4095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09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00" w:before="200"/>
      </w:pPr>
      <w:r>
        <w:t xml:space="preserve">2.1 Trust boundaries and controls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2100"/>
        <w:gridCol w:w="2850"/>
      </w:tblGrid>
      <w:tr>
        <w:trPr>
          <w:tblHeader/>
        </w:trPr>
        <w:tc>
          <w:tcPr>
            <w:tcW w:type="dxa" w:w="2000"/>
            <w:shd w:fill="1F3864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From</w:t>
            </w:r>
          </w:p>
        </w:tc>
        <w:tc>
          <w:tcPr>
            <w:tcW w:type="dxa" w:w="2400"/>
            <w:shd w:fill="1F3864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To</w:t>
            </w:r>
          </w:p>
        </w:tc>
        <w:tc>
          <w:tcPr>
            <w:tcW w:type="dxa" w:w="2100"/>
            <w:shd w:fill="1F3864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Trust boundary crossed</w:t>
            </w:r>
          </w:p>
        </w:tc>
        <w:tc>
          <w:tcPr>
            <w:tcW w:type="dxa" w:w="2850"/>
            <w:shd w:fill="1F3864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Control</w:t>
            </w:r>
          </w:p>
        </w:tc>
      </w:tr>
      <w:tr>
        <w:tc>
          <w:tcPr>
            <w:tcW w:type="dxa" w:w="2000"/>
            <w:vAlign w:val="center"/>
          </w:tcPr>
          <w:p>
            <w:r>
              <w:rPr>
                <w:b w:val="false"/>
                <w:bCs w:val="false"/>
              </w:rPr>
              <w:t xml:space="preserve">Internet</w:t>
            </w:r>
          </w:p>
        </w:tc>
        <w:tc>
          <w:tcPr>
            <w:tcW w:type="dxa" w:w="2400"/>
            <w:vAlign w:val="center"/>
          </w:tcPr>
          <w:p>
            <w:r>
              <w:rPr>
                <w:b w:val="false"/>
                <w:bCs w:val="false"/>
              </w:rPr>
              <w:t xml:space="preserve">Application Gateway (WAF_v2)</w:t>
            </w:r>
          </w:p>
        </w:tc>
        <w:tc>
          <w:tcPr>
            <w:tcW w:type="dxa" w:w="2100"/>
            <w:vAlign w:val="center"/>
          </w:tcPr>
          <w:p>
            <w:r>
              <w:rPr>
                <w:b w:val="false"/>
                <w:bCs w:val="false"/>
              </w:rPr>
              <w:t xml:space="preserve">Public → DMZ</w:t>
            </w:r>
          </w:p>
        </w:tc>
        <w:tc>
          <w:tcPr>
            <w:tcW w:type="dxa" w:w="2850"/>
            <w:vAlign w:val="center"/>
          </w:tcPr>
          <w:p>
            <w:r>
              <w:rPr>
                <w:b w:val="false"/>
                <w:bCs w:val="false"/>
              </w:rPr>
              <w:t xml:space="preserve">TLS 1.2+ terminated at the gateway; OWASP CRS 3.2 + custom rate-limit/geo rules inspect every request before it reaches AKS.</w:t>
            </w:r>
          </w:p>
        </w:tc>
      </w:tr>
      <w:tr>
        <w:tc>
          <w:tcPr>
            <w:tcW w:type="dxa" w:w="2000"/>
            <w:vAlign w:val="center"/>
          </w:tcPr>
          <w:p>
            <w:r>
              <w:rPr>
                <w:b w:val="false"/>
                <w:bCs w:val="false"/>
              </w:rPr>
              <w:t xml:space="preserve">Application Gateway</w:t>
            </w:r>
          </w:p>
        </w:tc>
        <w:tc>
          <w:tcPr>
            <w:tcW w:type="dxa" w:w="2400"/>
            <w:vAlign w:val="center"/>
          </w:tcPr>
          <w:p>
            <w:r>
              <w:rPr>
                <w:b w:val="false"/>
                <w:bCs w:val="false"/>
              </w:rPr>
              <w:t xml:space="preserve">AKS inference pods (ClusterIP)</w:t>
            </w:r>
          </w:p>
        </w:tc>
        <w:tc>
          <w:tcPr>
            <w:tcW w:type="dxa" w:w="2100"/>
            <w:vAlign w:val="center"/>
          </w:tcPr>
          <w:p>
            <w:r>
              <w:rPr>
                <w:b w:val="false"/>
                <w:bCs w:val="false"/>
              </w:rPr>
              <w:t xml:space="preserve">DMZ → Private subnet</w:t>
            </w:r>
          </w:p>
        </w:tc>
        <w:tc>
          <w:tcPr>
            <w:tcW w:type="dxa" w:w="2850"/>
            <w:vAlign w:val="center"/>
          </w:tcPr>
          <w:p>
            <w:r>
              <w:rPr>
                <w:b w:val="false"/>
                <w:bCs w:val="false"/>
              </w:rPr>
              <w:t xml:space="preserve">NSG allows only 443 from the AppGW subnet; Kubernetes NetworkPolicy default-denies all other ingress.</w:t>
            </w:r>
          </w:p>
        </w:tc>
      </w:tr>
      <w:tr>
        <w:tc>
          <w:tcPr>
            <w:tcW w:type="dxa" w:w="2000"/>
            <w:vAlign w:val="center"/>
          </w:tcPr>
          <w:p>
            <w:r>
              <w:rPr>
                <w:b w:val="false"/>
                <w:bCs w:val="false"/>
              </w:rPr>
              <w:t xml:space="preserve">AKS inference pods</w:t>
            </w:r>
          </w:p>
        </w:tc>
        <w:tc>
          <w:tcPr>
            <w:tcW w:type="dxa" w:w="2400"/>
            <w:vAlign w:val="center"/>
          </w:tcPr>
          <w:p>
            <w:r>
              <w:rPr>
                <w:b w:val="false"/>
                <w:bCs w:val="false"/>
              </w:rPr>
              <w:t xml:space="preserve">Azure Key Vault</w:t>
            </w:r>
          </w:p>
        </w:tc>
        <w:tc>
          <w:tcPr>
            <w:tcW w:type="dxa" w:w="2100"/>
            <w:vAlign w:val="center"/>
          </w:tcPr>
          <w:p>
            <w:r>
              <w:rPr>
                <w:b w:val="false"/>
                <w:bCs w:val="false"/>
              </w:rPr>
              <w:t xml:space="preserve">Private subnet → Private endpoint</w:t>
            </w:r>
          </w:p>
        </w:tc>
        <w:tc>
          <w:tcPr>
            <w:tcW w:type="dxa" w:w="2850"/>
            <w:vAlign w:val="center"/>
          </w:tcPr>
          <w:p>
            <w:r>
              <w:rPr>
                <w:b w:val="false"/>
                <w:bCs w:val="false"/>
              </w:rPr>
              <w:t xml:space="preserve">No public network path exists to Key Vault; traffic stays on the private endpoint subnet; pods authenticate via Workload Identity (OIDC federation), never a stored secret.</w:t>
            </w:r>
          </w:p>
        </w:tc>
      </w:tr>
      <w:tr>
        <w:tc>
          <w:tcPr>
            <w:tcW w:type="dxa" w:w="2000"/>
            <w:vAlign w:val="center"/>
          </w:tcPr>
          <w:p>
            <w:r>
              <w:rPr>
                <w:b w:val="false"/>
                <w:bCs w:val="false"/>
              </w:rPr>
              <w:t xml:space="preserve">AKS control plane</w:t>
            </w:r>
          </w:p>
        </w:tc>
        <w:tc>
          <w:tcPr>
            <w:tcW w:type="dxa" w:w="2400"/>
            <w:vAlign w:val="center"/>
          </w:tcPr>
          <w:p>
            <w:r>
              <w:rPr>
                <w:b w:val="false"/>
                <w:bCs w:val="false"/>
              </w:rPr>
              <w:t xml:space="preserve">Administrators</w:t>
            </w:r>
          </w:p>
        </w:tc>
        <w:tc>
          <w:tcPr>
            <w:tcW w:type="dxa" w:w="2100"/>
            <w:vAlign w:val="center"/>
          </w:tcPr>
          <w:p>
            <w:r>
              <w:rPr>
                <w:b w:val="false"/>
                <w:bCs w:val="false"/>
              </w:rPr>
              <w:t xml:space="preserve">Private API server → Allow-listed IPs</w:t>
            </w:r>
          </w:p>
        </w:tc>
        <w:tc>
          <w:tcPr>
            <w:tcW w:type="dxa" w:w="2850"/>
            <w:vAlign w:val="center"/>
          </w:tcPr>
          <w:p>
            <w:r>
              <w:rPr>
                <w:b w:val="false"/>
                <w:bCs w:val="false"/>
              </w:rPr>
              <w:t xml:space="preserve">Private cluster (no public API server FQDN); authorized IP ranges restrict kubectl/admin access; Azure AD RBAC governs cluster actions.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t xml:space="preserve">3. Azure Key Vault Integration Guide</w:t>
      </w:r>
    </w:p>
    <w:p>
      <w:pPr>
        <w:pStyle w:val="Heading2"/>
        <w:spacing w:after="100" w:before="200"/>
      </w:pPr>
      <w:r>
        <w:t xml:space="preserve">3.1 What is stored in Key Vault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jwt-secret-key — signs and validates inference-API access tokens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allowed-origins — the CORS allow-list, comma-separated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field-encryption-key — the Fernet key from Milestone 1 used to encrypt PII fields (CustomerName, Email, PhoneNumber, Address, NationalID, CreditCardNumber)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appgw-tls-cert — the TLS certificate used by Application Gateway for HTTPS termination</w:t>
      </w:r>
    </w:p>
    <w:p>
      <w:pPr>
        <w:pStyle w:val="Heading2"/>
        <w:spacing w:after="100" w:before="200"/>
      </w:pPr>
      <w:r>
        <w:t xml:space="preserve">3.2 How the application authenticates to Key Vault</w:t>
      </w:r>
    </w:p>
    <w:p>
      <w:pPr>
        <w:spacing w:after="120"/>
      </w:pPr>
      <w:r>
        <w:t xml:space="preserve">The FastAPI service never stores a client secret. Instead, it uses Azure AD Workload Identity: the AKS cluster is configured with an OIDC issuer, and each pod's Kubernetes ServiceAccount is federated to a dedicated Azure AD user-assigned identity (see iac/terraform/modules/aks). At runtime, the Azure SDK's DefaultAzureCredential automatically exchanges the pod's Kubernetes-issued token for an Azure AD token scoped to Key Vault — with zero credentials stored in code, environment variables, or container images.</w:t>
      </w:r>
    </w:p>
    <w:p>
      <w:pPr>
        <w:spacing w:after="120"/>
      </w:pPr>
      <w:r>
        <w:t xml:space="preserve">Access is scoped with Azure RBAC (enable_rbac_authorization = true on the vault) rather than legacy access policies. The workload identity is granted only the "Key Vault Secrets User" role — read-only, no create/update/delete — consistent with the least-privilege policy defined in Milestone 1.</w:t>
      </w:r>
    </w:p>
    <w:p>
      <w:pPr>
        <w:pStyle w:val="Heading2"/>
        <w:spacing w:after="100" w:before="200"/>
      </w:pPr>
      <w:r>
        <w:t xml:space="preserve">3.3 Network isolation</w:t>
      </w:r>
    </w:p>
    <w:p>
      <w:pPr>
        <w:spacing w:after="120"/>
      </w:pPr>
      <w:r>
        <w:t xml:space="preserve">public_network_access_enabled is set to false on the Key Vault resource; the vault is reachable only through a private endpoint placed in a dedicated subnet, with a private DNS zone (privatelink.vaultcore.azure.net) resolving the vault's hostname internally. This closes off the public internet as an attack surface for secret exfiltration entirely.</w:t>
      </w:r>
    </w:p>
    <w:p>
      <w:pPr>
        <w:pStyle w:val="Heading2"/>
        <w:spacing w:after="100" w:before="200"/>
      </w:pPr>
      <w:r>
        <w:t xml:space="preserve">3.4 Secret rotation</w:t>
      </w:r>
    </w:p>
    <w:p>
      <w:pPr>
        <w:spacing w:after="120"/>
      </w:pPr>
      <w:r>
        <w:t xml:space="preserve">Because the application reads secrets from Key Vault at process startup (config.py) rather than baking them into the image, rotating a secret in Key Vault and restarting/rolling the deployment is sufficient to pick up a new value — no code change or redeploy of a new image is required.</w:t>
      </w:r>
    </w:p>
    <w:p>
      <w:r>
        <w:br w:type="page"/>
      </w:r>
    </w:p>
    <w:p>
      <w:pPr>
        <w:pStyle w:val="Heading1"/>
        <w:spacing w:after="150" w:before="300"/>
      </w:pPr>
      <w:r>
        <w:t xml:space="preserve">4. STRIDE Threat Model</w:t>
      </w:r>
    </w:p>
    <w:p>
      <w:pPr>
        <w:spacing w:after="120"/>
      </w:pPr>
      <w:r>
        <w:t xml:space="preserve">The table below applies the STRIDE framework to the deployed inference service, its data flows, and its trust boundaries.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600"/>
        <w:gridCol w:w="4150"/>
      </w:tblGrid>
      <w:tr>
        <w:trPr>
          <w:tblHeader/>
        </w:trPr>
        <w:tc>
          <w:tcPr>
            <w:tcW w:type="dxa" w:w="1600"/>
            <w:shd w:fill="1F3864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STRIDE Category</w:t>
            </w:r>
          </w:p>
        </w:tc>
        <w:tc>
          <w:tcPr>
            <w:tcW w:type="dxa" w:w="3600"/>
            <w:shd w:fill="1F3864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Threat in this system</w:t>
            </w:r>
          </w:p>
        </w:tc>
        <w:tc>
          <w:tcPr>
            <w:tcW w:type="dxa" w:w="4150"/>
            <w:shd w:fill="1F3864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Mitigation</w:t>
            </w:r>
          </w:p>
        </w:tc>
      </w:tr>
      <w:tr>
        <w:tc>
          <w:tcPr>
            <w:tcW w:type="dxa" w:w="1600"/>
            <w:vAlign w:val="center"/>
          </w:tcPr>
          <w:p>
            <w:r>
              <w:rPr>
                <w:b/>
                <w:bCs/>
              </w:rPr>
              <w:t xml:space="preserve">Spoofing</w:t>
            </w:r>
          </w:p>
        </w:tc>
        <w:tc>
          <w:tcPr>
            <w:tcW w:type="dxa" w:w="3600"/>
            <w:vAlign w:val="center"/>
          </w:tcPr>
          <w:p>
            <w:r>
              <w:rPr>
                <w:b w:val="false"/>
                <w:bCs w:val="false"/>
              </w:rPr>
              <w:t xml:space="preserve">An attacker impersonates a legitimate service account to call the inference API.</w:t>
            </w:r>
          </w:p>
        </w:tc>
        <w:tc>
          <w:tcPr>
            <w:tcW w:type="dxa" w:w="4150"/>
            <w:vAlign w:val="center"/>
          </w:tcPr>
          <w:p>
            <w:r>
              <w:rPr>
                <w:b w:val="false"/>
                <w:bCs w:val="false"/>
              </w:rPr>
              <w:t xml:space="preserve">OAuth2/JWT authentication on every endpoint; short-lived tokens (15 min); planned migration to Azure AD (Entra ID) client-credentials flow removes static passwords entirely.</w:t>
            </w:r>
          </w:p>
        </w:tc>
      </w:tr>
      <w:tr>
        <w:tc>
          <w:tcPr>
            <w:tcW w:type="dxa" w:w="1600"/>
            <w:vAlign w:val="center"/>
          </w:tcPr>
          <w:p>
            <w:r>
              <w:rPr>
                <w:b/>
                <w:bCs/>
              </w:rPr>
              <w:t xml:space="preserve">Tampering</w:t>
            </w:r>
          </w:p>
        </w:tc>
        <w:tc>
          <w:tcPr>
            <w:tcW w:type="dxa" w:w="3600"/>
            <w:vAlign w:val="center"/>
          </w:tcPr>
          <w:p>
            <w:r>
              <w:rPr>
                <w:b w:val="false"/>
                <w:bCs w:val="false"/>
              </w:rPr>
              <w:t xml:space="preserve">Request payloads are modified in transit, or a compromised node alters model inputs/outputs.</w:t>
            </w:r>
          </w:p>
        </w:tc>
        <w:tc>
          <w:tcPr>
            <w:tcW w:type="dxa" w:w="4150"/>
            <w:vAlign w:val="center"/>
          </w:tcPr>
          <w:p>
            <w:r>
              <w:rPr>
                <w:b w:val="false"/>
                <w:bCs w:val="false"/>
              </w:rPr>
              <w:t xml:space="preserve">TLS 1.2+ enforced end-to-end (Application Gateway WAF_v2 SSL policy); strict Pydantic schema validation rejects unexpected/out-of-range fields; container images run read-only root filesystems.</w:t>
            </w:r>
          </w:p>
        </w:tc>
      </w:tr>
      <w:tr>
        <w:tc>
          <w:tcPr>
            <w:tcW w:type="dxa" w:w="1600"/>
            <w:vAlign w:val="center"/>
          </w:tcPr>
          <w:p>
            <w:r>
              <w:rPr>
                <w:b/>
                <w:bCs/>
              </w:rPr>
              <w:t xml:space="preserve">Repudiation</w:t>
            </w:r>
          </w:p>
        </w:tc>
        <w:tc>
          <w:tcPr>
            <w:tcW w:type="dxa" w:w="3600"/>
            <w:vAlign w:val="center"/>
          </w:tcPr>
          <w:p>
            <w:r>
              <w:rPr>
                <w:b w:val="false"/>
                <w:bCs w:val="false"/>
              </w:rPr>
              <w:t xml:space="preserve">A user or service denies having made a request that led to a fraud decision.</w:t>
            </w:r>
          </w:p>
        </w:tc>
        <w:tc>
          <w:tcPr>
            <w:tcW w:type="dxa" w:w="4150"/>
            <w:vAlign w:val="center"/>
          </w:tcPr>
          <w:p>
            <w:r>
              <w:rPr>
                <w:b w:val="false"/>
                <w:bCs w:val="false"/>
              </w:rPr>
              <w:t xml:space="preserve">Structured audit logging of every inference call (request ID, subject, role, timestamp) sent to Log Analytics; Key Vault AuditEvent logging captures every secret access.</w:t>
            </w:r>
          </w:p>
        </w:tc>
      </w:tr>
      <w:tr>
        <w:tc>
          <w:tcPr>
            <w:tcW w:type="dxa" w:w="1600"/>
            <w:vAlign w:val="center"/>
          </w:tcPr>
          <w:p>
            <w:r>
              <w:rPr>
                <w:b/>
                <w:bCs/>
              </w:rPr>
              <w:t xml:space="preserve">Information Disclosure</w:t>
            </w:r>
          </w:p>
        </w:tc>
        <w:tc>
          <w:tcPr>
            <w:tcW w:type="dxa" w:w="3600"/>
            <w:vAlign w:val="center"/>
          </w:tcPr>
          <w:p>
            <w:r>
              <w:rPr>
                <w:b w:val="false"/>
                <w:bCs w:val="false"/>
              </w:rPr>
              <w:t xml:space="preserve">Sensitive data (PII, model internals, secrets, stack traces) leaks to an unauthorized party.</w:t>
            </w:r>
          </w:p>
        </w:tc>
        <w:tc>
          <w:tcPr>
            <w:tcW w:type="dxa" w:w="4150"/>
            <w:vAlign w:val="center"/>
          </w:tcPr>
          <w:p>
            <w:r>
              <w:rPr>
                <w:b w:val="false"/>
                <w:bCs w:val="false"/>
              </w:rPr>
              <w:t xml:space="preserve">Field-level encryption from Milestone 1 preserved end-to-end; Key Vault stores all secrets (no hardcoded credentials); generic error responses (no stack traces); server-fingerprinting header removed; Key Vault has no public network access.</w:t>
            </w:r>
          </w:p>
        </w:tc>
      </w:tr>
      <w:tr>
        <w:tc>
          <w:tcPr>
            <w:tcW w:type="dxa" w:w="1600"/>
            <w:vAlign w:val="center"/>
          </w:tcPr>
          <w:p>
            <w:r>
              <w:rPr>
                <w:b/>
                <w:bCs/>
              </w:rPr>
              <w:t xml:space="preserve">Denial of Service</w:t>
            </w:r>
          </w:p>
        </w:tc>
        <w:tc>
          <w:tcPr>
            <w:tcW w:type="dxa" w:w="3600"/>
            <w:vAlign w:val="center"/>
          </w:tcPr>
          <w:p>
            <w:r>
              <w:rPr>
                <w:b w:val="false"/>
                <w:bCs w:val="false"/>
              </w:rPr>
              <w:t xml:space="preserve">An attacker floods the API or auth endpoint to exhaust resources or lock out legitimate users.</w:t>
            </w:r>
          </w:p>
        </w:tc>
        <w:tc>
          <w:tcPr>
            <w:tcW w:type="dxa" w:w="4150"/>
            <w:vAlign w:val="center"/>
          </w:tcPr>
          <w:p>
            <w:r>
              <w:rPr>
                <w:b w:val="false"/>
                <w:bCs w:val="false"/>
              </w:rPr>
              <w:t xml:space="preserve">WAF rate-limiting custom rule (60 req/min on auth path) plus application-level SlowAPI limits (30/min general, 5/min login); AKS autoscaling; Application Gateway WAF_v2 autoscale (2–6 instances).</w:t>
            </w:r>
          </w:p>
        </w:tc>
      </w:tr>
      <w:tr>
        <w:tc>
          <w:tcPr>
            <w:tcW w:type="dxa" w:w="1600"/>
            <w:vAlign w:val="center"/>
          </w:tcPr>
          <w:p>
            <w:r>
              <w:rPr>
                <w:b/>
                <w:bCs/>
              </w:rPr>
              <w:t xml:space="preserve">Elevation of Privilege</w:t>
            </w:r>
          </w:p>
        </w:tc>
        <w:tc>
          <w:tcPr>
            <w:tcW w:type="dxa" w:w="3600"/>
            <w:vAlign w:val="center"/>
          </w:tcPr>
          <w:p>
            <w:r>
              <w:rPr>
                <w:b w:val="false"/>
                <w:bCs w:val="false"/>
              </w:rPr>
              <w:t xml:space="preserve">A low-privilege caller (or compromised pod) gains ml_engineer/admin-level access.</w:t>
            </w:r>
          </w:p>
        </w:tc>
        <w:tc>
          <w:tcPr>
            <w:tcW w:type="dxa" w:w="4150"/>
            <w:vAlign w:val="center"/>
          </w:tcPr>
          <w:p>
            <w:r>
              <w:rPr>
                <w:b w:val="false"/>
                <w:bCs w:val="false"/>
              </w:rPr>
              <w:t xml:space="preserve">Role-based access control via JWT role claims (require_role dependency); Kubernetes NetworkPolicies enforce default-deny micro-segmentation; Key Vault RBAC grants only "Secrets User" (read-only) to the workload identity, never write/delete.</w:t>
            </w:r>
          </w:p>
        </w:tc>
      </w:tr>
    </w:tbl>
    <w:p>
      <w:pPr>
        <w:pStyle w:val="Heading1"/>
        <w:spacing w:after="150" w:before="300"/>
      </w:pPr>
      <w:r>
        <w:t xml:space="preserve">5. Compliance Alignment</w:t>
      </w:r>
    </w:p>
    <w:p>
      <w:pPr>
        <w:spacing w:after="120"/>
      </w:pPr>
      <w:r>
        <w:t xml:space="preserve">This architecture extends the privacy controls established in the Milestone 1 Data Privacy Impact Assessment (field-level encryption, least privilege, access control) into the production network and identity layer, supporting the same GDPR- and HIPAA-inspired principles: confidentiality (private networking + encryption), integrity (TLS + strict validation), and availability (WAF + autoscaling + rate limiting).</w:t>
      </w:r>
    </w:p>
    <w:p>
      <w:pPr>
        <w:pStyle w:val="Heading1"/>
        <w:spacing w:after="150" w:before="300"/>
      </w:pPr>
      <w:r>
        <w:t xml:space="preserve">6. Open Items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Replace the local demo user store with Azure AD (Entra ID) app registration for service authentication.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Provision a dedicated (non-reused) managed identity for Application Gateway's certificate access, scoped to Key Vault Certificate User only.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Tighten the AKS NetworkPolicy ingress rule to the exact Application Gateway subnet CIDR once the target CNI's IP-block support is confirmed.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Finalize TLS 1.3-only policy on Application Gateway once available as a predefined policy in the target region.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9d6fa3b4b8d170996bdaa8b452c5b57ffb104482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2026-07-04T21:20:21.584Z</dcterms:created>
  <dcterms:modified xsi:type="dcterms:W3CDTF">2026-07-04T21:20:21.596Z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