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Penetration Test Report</w:t>
      </w:r>
    </w:p>
    <w:p>
      <w:pPr>
        <w:spacing w:after="100"/>
        <w:jc w:val="center"/>
      </w:pPr>
      <w:r>
        <w:t xml:space="preserve">Secure &amp; Compliant ML Security Pipeline — Milestone 3: Secure Deployment</w:t>
      </w:r>
    </w:p>
    <w:p>
      <w:pPr>
        <w:spacing w:after="400"/>
        <w:jc w:val="center"/>
      </w:pPr>
      <w:r>
        <w:t xml:space="preserve">Fraud Inference API — Pre-Production Security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vAlign w:val="center"/>
          </w:tcPr>
          <w:p>
            <w:r>
              <w:rPr>
                <w:b/>
                <w:bCs/>
              </w:rPr>
              <w:t xml:space="preserve">Tester</w:t>
            </w:r>
          </w:p>
        </w:tc>
        <w:tc>
          <w:tcPr>
            <w:tcW w:type="dxa" w:w="6550"/>
            <w:vAlign w:val="center"/>
          </w:tcPr>
          <w:p>
            <w:r>
              <w:rPr>
                <w:b w:val="false"/>
                <w:bCs w:val="false"/>
              </w:rPr>
              <w:t xml:space="preserve">Ali Yasser — Security &amp; DevSecOps Engineer</w:t>
            </w:r>
          </w:p>
        </w:tc>
      </w:tr>
      <w:tr>
        <w:tc>
          <w:tcPr>
            <w:tcW w:type="dxa" w:w="2800"/>
            <w:vAlign w:val="center"/>
          </w:tcPr>
          <w:p>
            <w:r>
              <w:rPr>
                <w:b/>
                <w:bCs/>
              </w:rPr>
              <w:t xml:space="preserve">Target</w:t>
            </w:r>
          </w:p>
        </w:tc>
        <w:tc>
          <w:tcPr>
            <w:tcW w:type="dxa" w:w="6550"/>
            <w:vAlign w:val="center"/>
          </w:tcPr>
          <w:p>
            <w:r>
              <w:rPr>
                <w:b w:val="false"/>
                <w:bCs w:val="false"/>
              </w:rPr>
              <w:t xml:space="preserve">Fraud Inference API (FastAPI) — /api/v1/auth, /api/v1/inference</w:t>
            </w:r>
          </w:p>
        </w:tc>
      </w:tr>
      <w:tr>
        <w:tc>
          <w:tcPr>
            <w:tcW w:type="dxa" w:w="2800"/>
            <w:vAlign w:val="center"/>
          </w:tcPr>
          <w:p>
            <w:r>
              <w:rPr>
                <w:b/>
                <w:bCs/>
              </w:rPr>
              <w:t xml:space="preserve">Test type</w:t>
            </w:r>
          </w:p>
        </w:tc>
        <w:tc>
          <w:tcPr>
            <w:tcW w:type="dxa" w:w="6550"/>
            <w:vAlign w:val="center"/>
          </w:tcPr>
          <w:p>
            <w:r>
              <w:rPr>
                <w:b w:val="false"/>
                <w:bCs w:val="false"/>
              </w:rPr>
              <w:t xml:space="preserve">Grey-box, source-available assessment + live manual testing (local pre-prod instance)</w:t>
            </w:r>
          </w:p>
        </w:tc>
      </w:tr>
      <w:tr>
        <w:tc>
          <w:tcPr>
            <w:tcW w:type="dxa" w:w="2800"/>
            <w:vAlign w:val="center"/>
          </w:tcPr>
          <w:p>
            <w:r>
              <w:rPr>
                <w:b/>
                <w:bCs/>
              </w:rPr>
              <w:t xml:space="preserve">Methodology</w:t>
            </w:r>
          </w:p>
        </w:tc>
        <w:tc>
          <w:tcPr>
            <w:tcW w:type="dxa" w:w="6550"/>
            <w:vAlign w:val="center"/>
          </w:tcPr>
          <w:p>
            <w:r>
              <w:rPr>
                <w:b w:val="false"/>
                <w:bCs w:val="false"/>
              </w:rPr>
              <w:t xml:space="preserve">OWASP API Security Top 10 (2023); manual curl/Burp-style request crafting</w:t>
            </w:r>
          </w:p>
        </w:tc>
      </w:tr>
      <w:tr>
        <w:tc>
          <w:tcPr>
            <w:tcW w:type="dxa" w:w="2800"/>
            <w:vAlign w:val="center"/>
          </w:tcPr>
          <w:p>
            <w:r>
              <w:rPr>
                <w:b/>
                <w:bCs/>
              </w:rPr>
              <w:t xml:space="preserve">Date</w:t>
            </w:r>
          </w:p>
        </w:tc>
        <w:tc>
          <w:tcPr>
            <w:tcW w:type="dxa" w:w="6550"/>
            <w:vAlign w:val="center"/>
          </w:tcPr>
          <w:p>
            <w:r>
              <w:rPr>
                <w:b w:val="false"/>
                <w:bCs w:val="false"/>
              </w:rPr>
              <w:t xml:space="preserve">Milestone 3 — Secure Deployment cycle</w:t>
            </w:r>
          </w:p>
        </w:tc>
      </w:tr>
    </w:tbl>
    <w:p>
      <w:pPr>
        <w:pStyle w:val="Heading1"/>
        <w:spacing w:after="150" w:before="300"/>
      </w:pPr>
      <w:r>
        <w:t xml:space="preserve">1. Executive Summary</w:t>
      </w:r>
    </w:p>
    <w:p>
      <w:pPr>
        <w:spacing w:after="120"/>
      </w:pPr>
      <w:r>
        <w:t xml:space="preserve">This assessment covers the fraud-detection inference API developed for Milestone 3 (Secure Deployment) prior to its rollout on Azure Kubernetes Service. Testing was carried out directly against a running instance of the service, combined with a source-code review, following the OWASP API Security Top 10 (2023) methodology.</w:t>
      </w:r>
    </w:p>
    <w:p>
      <w:pPr>
        <w:spacing w:after="120"/>
      </w:pPr>
      <w:r>
        <w:t xml:space="preserve">Two issues were identified and remediated during the engagement: missing brute-force protection on the authentication endpoint (High) and a server-fingerprinting information disclosure (Low). One item (the placeholder local user store) remains open and is tracked for resolution before the production Azure AD integration. All input-validation, authorization, and rate-limiting controls tested during this engagement passed.</w:t>
      </w:r>
    </w:p>
    <w:p>
      <w:pPr>
        <w:pStyle w:val="Heading1"/>
        <w:spacing w:after="150" w:before="300"/>
      </w:pPr>
      <w:r>
        <w:t xml:space="preserve">2. Findings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1600"/>
        <w:gridCol w:w="2250"/>
      </w:tblGrid>
      <w:tr>
        <w:trPr>
          <w:tblHeader/>
        </w:trPr>
        <w:tc>
          <w:tcPr>
            <w:tcW w:type="dxa" w:w="700"/>
            <w:shd w:fill="1F3864" w:val="clear"/>
            <w:vAlign w:val="center"/>
          </w:tcPr>
          <w:p>
            <w:r>
              <w:rPr>
                <w:b/>
                <w:bCs/>
                <w:color w:val="FFFFFF"/>
              </w:rPr>
              <w:t xml:space="preserve">ID</w:t>
            </w:r>
          </w:p>
        </w:tc>
        <w:tc>
          <w:tcPr>
            <w:tcW w:type="dxa" w:w="3400"/>
            <w:shd w:fill="1F3864" w:val="clear"/>
            <w:vAlign w:val="center"/>
          </w:tcPr>
          <w:p>
            <w:r>
              <w:rPr>
                <w:b/>
                <w:bCs/>
                <w:color w:val="FFFFFF"/>
              </w:rPr>
              <w:t xml:space="preserve">Finding</w:t>
            </w:r>
          </w:p>
        </w:tc>
        <w:tc>
          <w:tcPr>
            <w:tcW w:type="dxa" w:w="1400"/>
            <w:shd w:fill="1F3864" w:val="clear"/>
            <w:vAlign w:val="center"/>
          </w:tcPr>
          <w:p>
            <w:r>
              <w:rPr>
                <w:b/>
                <w:bCs/>
                <w:color w:val="FFFFFF"/>
              </w:rPr>
              <w:t xml:space="preserve">Severity</w:t>
            </w:r>
          </w:p>
        </w:tc>
        <w:tc>
          <w:tcPr>
            <w:tcW w:type="dxa" w:w="1600"/>
            <w:shd w:fill="1F3864" w:val="clear"/>
            <w:vAlign w:val="center"/>
          </w:tcPr>
          <w:p>
            <w:r>
              <w:rPr>
                <w:b/>
                <w:bCs/>
                <w:color w:val="FFFFFF"/>
              </w:rPr>
              <w:t xml:space="preserve">OWASP API Top 10</w:t>
            </w:r>
          </w:p>
        </w:tc>
        <w:tc>
          <w:tcPr>
            <w:tcW w:type="dxa" w:w="2250"/>
            <w:shd w:fill="1F3864" w:val="clear"/>
            <w:vAlign w:val="center"/>
          </w:tcPr>
          <w:p>
            <w:r>
              <w:rPr>
                <w:b/>
                <w:bCs/>
                <w:color w:val="FFFFFF"/>
              </w:rPr>
              <w:t xml:space="preserve">Status</w:t>
            </w:r>
          </w:p>
        </w:tc>
      </w:tr>
      <w:tr>
        <w:tc>
          <w:tcPr>
            <w:tcW w:type="dxa" w:w="700"/>
            <w:vAlign w:val="center"/>
          </w:tcPr>
          <w:p>
            <w:r>
              <w:rPr>
                <w:b w:val="false"/>
                <w:bCs w:val="false"/>
              </w:rPr>
              <w:t xml:space="preserve">F1</w:t>
            </w:r>
          </w:p>
        </w:tc>
        <w:tc>
          <w:tcPr>
            <w:tcW w:type="dxa" w:w="3400"/>
            <w:vAlign w:val="center"/>
          </w:tcPr>
          <w:p>
            <w:r>
              <w:rPr>
                <w:b w:val="false"/>
                <w:bCs w:val="false"/>
              </w:rPr>
              <w:t xml:space="preserve">Missing rate limiting on /auth/token (brute-force / credential stuffing)</w:t>
            </w:r>
          </w:p>
        </w:tc>
        <w:tc>
          <w:tcPr>
            <w:tcW w:type="dxa" w:w="1400"/>
            <w:vAlign w:val="center"/>
          </w:tcPr>
          <w:p>
            <w:r>
              <w:rPr>
                <w:b/>
                <w:bCs/>
                <w:color w:val="C00000"/>
              </w:rPr>
              <w:t xml:space="preserve">High</w:t>
            </w:r>
          </w:p>
        </w:tc>
        <w:tc>
          <w:tcPr>
            <w:tcW w:type="dxa" w:w="1600"/>
            <w:vAlign w:val="center"/>
          </w:tcPr>
          <w:p>
            <w:r>
              <w:rPr>
                <w:b w:val="false"/>
                <w:bCs w:val="false"/>
              </w:rPr>
              <w:t xml:space="preserve">API2:2023 Broken Auth.</w:t>
            </w:r>
          </w:p>
        </w:tc>
        <w:tc>
          <w:tcPr>
            <w:tcW w:type="dxa" w:w="2250"/>
            <w:vAlign w:val="center"/>
          </w:tcPr>
          <w:p>
            <w:r>
              <w:rPr>
                <w:b/>
                <w:bCs/>
                <w:color w:val="2E7D32"/>
              </w:rPr>
              <w:t xml:space="preserve">Remediated</w:t>
            </w:r>
          </w:p>
        </w:tc>
      </w:tr>
      <w:tr>
        <w:tc>
          <w:tcPr>
            <w:tcW w:type="dxa" w:w="700"/>
            <w:vAlign w:val="center"/>
          </w:tcPr>
          <w:p>
            <w:r>
              <w:rPr>
                <w:b w:val="false"/>
                <w:bCs w:val="false"/>
              </w:rPr>
              <w:t xml:space="preserve">F2</w:t>
            </w:r>
          </w:p>
        </w:tc>
        <w:tc>
          <w:tcPr>
            <w:tcW w:type="dxa" w:w="3400"/>
            <w:vAlign w:val="center"/>
          </w:tcPr>
          <w:p>
            <w:r>
              <w:rPr>
                <w:b w:val="false"/>
                <w:bCs w:val="false"/>
              </w:rPr>
              <w:t xml:space="preserve">"Server: uvicorn" header discloses backend software/stack</w:t>
            </w:r>
          </w:p>
        </w:tc>
        <w:tc>
          <w:tcPr>
            <w:tcW w:type="dxa" w:w="1400"/>
            <w:vAlign w:val="center"/>
          </w:tcPr>
          <w:p>
            <w:r>
              <w:rPr>
                <w:b/>
                <w:bCs/>
                <w:color w:val="BF9000"/>
              </w:rPr>
              <w:t xml:space="preserve">Low</w:t>
            </w:r>
          </w:p>
        </w:tc>
        <w:tc>
          <w:tcPr>
            <w:tcW w:type="dxa" w:w="1600"/>
            <w:vAlign w:val="center"/>
          </w:tcPr>
          <w:p>
            <w:r>
              <w:rPr>
                <w:b w:val="false"/>
                <w:bCs w:val="false"/>
              </w:rPr>
              <w:t xml:space="preserve">API8:2023 Sec. Misconfig.</w:t>
            </w:r>
          </w:p>
        </w:tc>
        <w:tc>
          <w:tcPr>
            <w:tcW w:type="dxa" w:w="2250"/>
            <w:vAlign w:val="center"/>
          </w:tcPr>
          <w:p>
            <w:r>
              <w:rPr>
                <w:b/>
                <w:bCs/>
                <w:color w:val="2E7D32"/>
              </w:rPr>
              <w:t xml:space="preserve">Remediated</w:t>
            </w:r>
          </w:p>
        </w:tc>
      </w:tr>
      <w:tr>
        <w:tc>
          <w:tcPr>
            <w:tcW w:type="dxa" w:w="700"/>
            <w:vAlign w:val="center"/>
          </w:tcPr>
          <w:p>
            <w:r>
              <w:rPr>
                <w:b w:val="false"/>
                <w:bCs w:val="false"/>
              </w:rPr>
              <w:t xml:space="preserve">F3</w:t>
            </w:r>
          </w:p>
        </w:tc>
        <w:tc>
          <w:tcPr>
            <w:tcW w:type="dxa" w:w="3400"/>
            <w:vAlign w:val="center"/>
          </w:tcPr>
          <w:p>
            <w:r>
              <w:rPr>
                <w:b w:val="false"/>
                <w:bCs w:val="false"/>
              </w:rPr>
              <w:t xml:space="preserve">Interactive API docs (/docs, /redoc) reachable if ENVIRONMENT misconfigured</w:t>
            </w:r>
          </w:p>
        </w:tc>
        <w:tc>
          <w:tcPr>
            <w:tcW w:type="dxa" w:w="1400"/>
            <w:vAlign w:val="center"/>
          </w:tcPr>
          <w:p>
            <w:r>
              <w:rPr>
                <w:b/>
                <w:bCs/>
                <w:color w:val="808080"/>
              </w:rPr>
              <w:t xml:space="preserve">Info</w:t>
            </w:r>
          </w:p>
        </w:tc>
        <w:tc>
          <w:tcPr>
            <w:tcW w:type="dxa" w:w="1600"/>
            <w:vAlign w:val="center"/>
          </w:tcPr>
          <w:p>
            <w:r>
              <w:rPr>
                <w:b w:val="false"/>
                <w:bCs w:val="false"/>
              </w:rPr>
              <w:t xml:space="preserve">API8:2023 Sec. Misconfig.</w:t>
            </w:r>
          </w:p>
        </w:tc>
        <w:tc>
          <w:tcPr>
            <w:tcW w:type="dxa" w:w="2250"/>
            <w:vAlign w:val="center"/>
          </w:tcPr>
          <w:p>
            <w:r>
              <w:rPr>
                <w:b/>
                <w:bCs/>
                <w:color w:val="2E7D32"/>
              </w:rPr>
              <w:t xml:space="preserve">Verified safe (disabled in production build)</w:t>
            </w:r>
          </w:p>
        </w:tc>
      </w:tr>
      <w:tr>
        <w:tc>
          <w:tcPr>
            <w:tcW w:type="dxa" w:w="700"/>
            <w:vAlign w:val="center"/>
          </w:tcPr>
          <w:p>
            <w:r>
              <w:rPr>
                <w:b w:val="false"/>
                <w:bCs w:val="false"/>
              </w:rPr>
              <w:t xml:space="preserve">F4</w:t>
            </w:r>
          </w:p>
        </w:tc>
        <w:tc>
          <w:tcPr>
            <w:tcW w:type="dxa" w:w="3400"/>
            <w:vAlign w:val="center"/>
          </w:tcPr>
          <w:p>
            <w:r>
              <w:rPr>
                <w:b w:val="false"/>
                <w:bCs w:val="false"/>
              </w:rPr>
              <w:t xml:space="preserve">Demo user store uses a static placeholder credential (dev-only)</w:t>
            </w:r>
          </w:p>
        </w:tc>
        <w:tc>
          <w:tcPr>
            <w:tcW w:type="dxa" w:w="1400"/>
            <w:vAlign w:val="center"/>
          </w:tcPr>
          <w:p>
            <w:r>
              <w:rPr>
                <w:b/>
                <w:bCs/>
                <w:color w:val="ED7D31"/>
              </w:rPr>
              <w:t xml:space="preserve">Medium</w:t>
            </w:r>
          </w:p>
        </w:tc>
        <w:tc>
          <w:tcPr>
            <w:tcW w:type="dxa" w:w="1600"/>
            <w:vAlign w:val="center"/>
          </w:tcPr>
          <w:p>
            <w:r>
              <w:rPr>
                <w:b w:val="false"/>
                <w:bCs w:val="false"/>
              </w:rPr>
              <w:t xml:space="preserve">API2:2023 Broken Auth.</w:t>
            </w:r>
          </w:p>
        </w:tc>
        <w:tc>
          <w:tcPr>
            <w:tcW w:type="dxa" w:w="2250"/>
            <w:vAlign w:val="center"/>
          </w:tcPr>
          <w:p>
            <w:r>
              <w:rPr>
                <w:b/>
                <w:bCs/>
                <w:color w:val="ED7D31"/>
              </w:rPr>
              <w:t xml:space="preserve">Open — tracked, requires Entra ID migration</w:t>
            </w:r>
          </w:p>
        </w:tc>
      </w:tr>
    </w:tbl>
    <w:p>
      <w:r>
        <w:br w:type="page"/>
      </w:r>
    </w:p>
    <w:p>
      <w:pPr>
        <w:pStyle w:val="Heading1"/>
        <w:spacing w:after="150" w:before="300"/>
      </w:pPr>
      <w:r>
        <w:t xml:space="preserve">3. Detailed Findings</w:t>
      </w:r>
    </w:p>
    <w:p>
      <w:pPr>
        <w:pStyle w:val="Heading2"/>
        <w:spacing w:after="100" w:before="200"/>
      </w:pPr>
      <w:r>
        <w:t xml:space="preserve">F1 — Missing rate limiting on /auth/token (High)</w:t>
      </w:r>
    </w:p>
    <w:p>
      <w:pPr>
        <w:spacing w:after="120"/>
      </w:pPr>
      <w:r>
        <w:t xml:space="preserve">Description: The token-issuance endpoint accepted an unlimited number of authentication attempts per client, allowing brute-force or credential-stuffing attacks against service accounts.</w:t>
      </w:r>
    </w:p>
    <w:p>
      <w:pPr>
        <w:spacing w:after="120"/>
      </w:pPr>
      <w:r>
        <w:t xml:space="preserve">Evidence: 6 consecutive POST requests with incorrect credentials all returned 401 with no throttling.</w:t>
      </w:r>
    </w:p>
    <w:p>
      <w:pPr>
        <w:spacing w:after="120"/>
      </w:pPr>
      <w:r>
        <w:rPr>
          <w:i/>
          <w:iCs/>
        </w:rPr>
        <w:t xml:space="preserve">Remediation: A dedicated rate limit of 5 requests/minute per client IP was added to the /auth/token route using SlowAPI, sharing the same limiter backend as the rest of the API. Re-test confirmed the 6th rapid attempt now returns 429 Too Many Requests.</w:t>
      </w:r>
    </w:p>
    <w:p>
      <w:pPr>
        <w:spacing w:after="120"/>
      </w:pPr>
      <w:r>
        <w:rPr>
          <w:b/>
          <w:bCs/>
          <w:color w:val="2E7D32"/>
        </w:rPr>
        <w:t xml:space="preserve">Status: Remediated and verified.</w:t>
      </w:r>
    </w:p>
    <w:p>
      <w:pPr>
        <w:pStyle w:val="Heading2"/>
        <w:spacing w:after="100" w:before="200"/>
      </w:pPr>
      <w:r>
        <w:t xml:space="preserve">F2 — Server software fingerprinting via response header (Low)</w:t>
      </w:r>
    </w:p>
    <w:p>
      <w:pPr>
        <w:spacing w:after="120"/>
      </w:pPr>
      <w:r>
        <w:t xml:space="preserve">Description: Responses included a "Server: uvicorn" header, disclosing the application server technology to any client — useful reconnaissance for an attacker.</w:t>
      </w:r>
    </w:p>
    <w:p>
      <w:pPr>
        <w:spacing w:after="120"/>
      </w:pPr>
      <w:r>
        <w:t xml:space="preserve">Remediation: The header cannot be removed from application middleware because uvicorn sets it after the ASGI app returns; it was disabled at the correct layer using the --no-server-header (and --no-date-header) uvicorn startup flags, now baked into the production Dockerfile CMD.</w:t>
      </w:r>
    </w:p>
    <w:p>
      <w:pPr>
        <w:spacing w:after="120"/>
      </w:pPr>
      <w:r>
        <w:rPr>
          <w:b/>
          <w:bCs/>
          <w:color w:val="2E7D32"/>
        </w:rPr>
        <w:t xml:space="preserve">Status: Remediated and verified.</w:t>
      </w:r>
    </w:p>
    <w:p>
      <w:pPr>
        <w:pStyle w:val="Heading2"/>
        <w:spacing w:after="100" w:before="200"/>
      </w:pPr>
      <w:r>
        <w:t xml:space="preserve">F3 — Interactive API documentation reachability (Informational)</w:t>
      </w:r>
    </w:p>
    <w:p>
      <w:pPr>
        <w:spacing w:after="120"/>
      </w:pPr>
      <w:r>
        <w:t xml:space="preserve">Description: FastAPI auto-generates /docs (Swagger UI) and /redoc endpoints, which can expose the full API surface if accidentally left enabled in production.</w:t>
      </w:r>
    </w:p>
    <w:p>
      <w:pPr>
        <w:spacing w:after="120"/>
      </w:pPr>
      <w:r>
        <w:t xml:space="preserve">Verification: Confirmed that setting ENVIRONMENT=production disables both endpoints (verified 404 on both routes). No code change required — this is a configuration control, not a defect.</w:t>
      </w:r>
    </w:p>
    <w:p>
      <w:pPr>
        <w:spacing w:after="120"/>
      </w:pPr>
      <w:r>
        <w:rPr>
          <w:b/>
          <w:bCs/>
          <w:color w:val="2E7D32"/>
        </w:rPr>
        <w:t xml:space="preserve">Status: Verified safe. Recommend a deployment-pipeline check that fails the build if ENVIRONMENT is not explicitly set to "production" for the prod image.</w:t>
      </w:r>
    </w:p>
    <w:p>
      <w:pPr>
        <w:pStyle w:val="Heading2"/>
        <w:spacing w:after="100" w:before="200"/>
      </w:pPr>
      <w:r>
        <w:t xml:space="preserve">F4 — Placeholder local user store (Medium, Open)</w:t>
      </w:r>
    </w:p>
    <w:p>
      <w:pPr>
        <w:spacing w:after="120"/>
      </w:pPr>
      <w:r>
        <w:t xml:space="preserve">Description: Authentication currently uses a local, hardcoded demo service account (svc-ml-engineer) with a bcrypt-hashed placeholder password. This is explicitly marked in the code as a stand-in and is acceptable for development/testing, but must not reach production as-is.</w:t>
      </w:r>
    </w:p>
    <w:p>
      <w:pPr>
        <w:spacing w:after="120"/>
      </w:pPr>
      <w:r>
        <w:t xml:space="preserve">Recommendation: Replace with Azure AD (Entra ID) app registration / client-credentials flow for service-to-service auth before go-live. Tracked as a pre-production blocker.</w:t>
      </w:r>
    </w:p>
    <w:p>
      <w:pPr>
        <w:spacing w:after="120"/>
      </w:pPr>
      <w:r>
        <w:rPr>
          <w:b/>
          <w:bCs/>
          <w:color w:val="ED7D31"/>
        </w:rPr>
        <w:t xml:space="preserve">Status: Open — planned for resolution alongside the Azure AD integration task.</w:t>
      </w:r>
    </w:p>
    <w:p>
      <w:r>
        <w:br w:type="page"/>
      </w:r>
    </w:p>
    <w:p>
      <w:pPr>
        <w:pStyle w:val="Heading1"/>
        <w:spacing w:after="150" w:before="300"/>
      </w:pPr>
      <w:r>
        <w:t xml:space="preserve">4. Full Test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600"/>
        <w:gridCol w:w="1600"/>
        <w:gridCol w:w="1150"/>
      </w:tblGrid>
      <w:tr>
        <w:trPr>
          <w:tblHeader/>
        </w:trPr>
        <w:tc>
          <w:tcPr>
            <w:tcW w:type="dxa" w:w="700"/>
            <w:shd w:fill="1F3864" w:val="clear"/>
            <w:vAlign w:val="center"/>
          </w:tcPr>
          <w:p>
            <w:r>
              <w:rPr>
                <w:b/>
                <w:bCs/>
                <w:color w:val="FFFFFF"/>
              </w:rPr>
              <w:t xml:space="preserve">#</w:t>
            </w:r>
          </w:p>
        </w:tc>
        <w:tc>
          <w:tcPr>
            <w:tcW w:type="dxa" w:w="3300"/>
            <w:shd w:fill="1F3864" w:val="clear"/>
            <w:vAlign w:val="center"/>
          </w:tcPr>
          <w:p>
            <w:r>
              <w:rPr>
                <w:b/>
                <w:bCs/>
                <w:color w:val="FFFFFF"/>
              </w:rPr>
              <w:t xml:space="preserve">Test case</w:t>
            </w:r>
          </w:p>
        </w:tc>
        <w:tc>
          <w:tcPr>
            <w:tcW w:type="dxa" w:w="1600"/>
            <w:shd w:fill="1F3864" w:val="clear"/>
            <w:vAlign w:val="center"/>
          </w:tcPr>
          <w:p>
            <w:r>
              <w:rPr>
                <w:b/>
                <w:bCs/>
                <w:color w:val="FFFFFF"/>
              </w:rPr>
              <w:t xml:space="preserve">Expected</w:t>
            </w:r>
          </w:p>
        </w:tc>
        <w:tc>
          <w:tcPr>
            <w:tcW w:type="dxa" w:w="1600"/>
            <w:shd w:fill="1F3864" w:val="clear"/>
            <w:vAlign w:val="center"/>
          </w:tcPr>
          <w:p>
            <w:r>
              <w:rPr>
                <w:b/>
                <w:bCs/>
                <w:color w:val="FFFFFF"/>
              </w:rPr>
              <w:t xml:space="preserve">Actual</w:t>
            </w:r>
          </w:p>
        </w:tc>
        <w:tc>
          <w:tcPr>
            <w:tcW w:type="dxa" w:w="1150"/>
            <w:shd w:fill="1F3864" w:val="clear"/>
            <w:vAlign w:val="center"/>
          </w:tcPr>
          <w:p>
            <w:r>
              <w:rPr>
                <w:b/>
                <w:bCs/>
                <w:color w:val="FFFFFF"/>
              </w:rPr>
              <w:t xml:space="preserve">Result</w:t>
            </w:r>
          </w:p>
        </w:tc>
      </w:tr>
      <w:tr>
        <w:tc>
          <w:tcPr>
            <w:tcW w:type="dxa" w:w="700"/>
            <w:vAlign w:val="center"/>
          </w:tcPr>
          <w:p>
            <w:r>
              <w:rPr>
                <w:b w:val="false"/>
                <w:bCs w:val="false"/>
              </w:rPr>
              <w:t xml:space="preserve">T1</w:t>
            </w:r>
          </w:p>
        </w:tc>
        <w:tc>
          <w:tcPr>
            <w:tcW w:type="dxa" w:w="3300"/>
            <w:vAlign w:val="center"/>
          </w:tcPr>
          <w:p>
            <w:r>
              <w:rPr>
                <w:b w:val="false"/>
                <w:bCs w:val="false"/>
              </w:rPr>
              <w:t xml:space="preserve">POST /inference/predict with no Authorization header</w:t>
            </w:r>
          </w:p>
        </w:tc>
        <w:tc>
          <w:tcPr>
            <w:tcW w:type="dxa" w:w="1600"/>
            <w:vAlign w:val="center"/>
          </w:tcPr>
          <w:p>
            <w:r>
              <w:rPr>
                <w:b w:val="false"/>
                <w:bCs w:val="false"/>
              </w:rPr>
              <w:t xml:space="preserve">401</w:t>
            </w:r>
          </w:p>
        </w:tc>
        <w:tc>
          <w:tcPr>
            <w:tcW w:type="dxa" w:w="1600"/>
            <w:vAlign w:val="center"/>
          </w:tcPr>
          <w:p>
            <w:r>
              <w:rPr>
                <w:b w:val="false"/>
                <w:bCs w:val="false"/>
              </w:rPr>
              <w:t xml:space="preserve">401 Not authenticated</w:t>
            </w:r>
          </w:p>
        </w:tc>
        <w:tc>
          <w:tcPr>
            <w:tcW w:type="dxa" w:w="1150"/>
            <w:vAlign w:val="center"/>
          </w:tcPr>
          <w:p>
            <w:r>
              <w:rPr>
                <w:b/>
                <w:bCs/>
                <w:color w:val="2E7D32"/>
              </w:rPr>
              <w:t xml:space="preserve">PASS</w:t>
            </w:r>
          </w:p>
        </w:tc>
      </w:tr>
      <w:tr>
        <w:tc>
          <w:tcPr>
            <w:tcW w:type="dxa" w:w="700"/>
            <w:vAlign w:val="center"/>
          </w:tcPr>
          <w:p>
            <w:r>
              <w:rPr>
                <w:b w:val="false"/>
                <w:bCs w:val="false"/>
              </w:rPr>
              <w:t xml:space="preserve">T2</w:t>
            </w:r>
          </w:p>
        </w:tc>
        <w:tc>
          <w:tcPr>
            <w:tcW w:type="dxa" w:w="3300"/>
            <w:vAlign w:val="center"/>
          </w:tcPr>
          <w:p>
            <w:r>
              <w:rPr>
                <w:b w:val="false"/>
                <w:bCs w:val="false"/>
              </w:rPr>
              <w:t xml:space="preserve">POST /inference/predict with malformed/garbage JWT</w:t>
            </w:r>
          </w:p>
        </w:tc>
        <w:tc>
          <w:tcPr>
            <w:tcW w:type="dxa" w:w="1600"/>
            <w:vAlign w:val="center"/>
          </w:tcPr>
          <w:p>
            <w:r>
              <w:rPr>
                <w:b w:val="false"/>
                <w:bCs w:val="false"/>
              </w:rPr>
              <w:t xml:space="preserve">401</w:t>
            </w:r>
          </w:p>
        </w:tc>
        <w:tc>
          <w:tcPr>
            <w:tcW w:type="dxa" w:w="1600"/>
            <w:vAlign w:val="center"/>
          </w:tcPr>
          <w:p>
            <w:r>
              <w:rPr>
                <w:b w:val="false"/>
                <w:bCs w:val="false"/>
              </w:rPr>
              <w:t xml:space="preserve">401 Could not validate credentials</w:t>
            </w:r>
          </w:p>
        </w:tc>
        <w:tc>
          <w:tcPr>
            <w:tcW w:type="dxa" w:w="1150"/>
            <w:vAlign w:val="center"/>
          </w:tcPr>
          <w:p>
            <w:r>
              <w:rPr>
                <w:b/>
                <w:bCs/>
                <w:color w:val="2E7D32"/>
              </w:rPr>
              <w:t xml:space="preserve">PASS</w:t>
            </w:r>
          </w:p>
        </w:tc>
      </w:tr>
      <w:tr>
        <w:tc>
          <w:tcPr>
            <w:tcW w:type="dxa" w:w="700"/>
            <w:vAlign w:val="center"/>
          </w:tcPr>
          <w:p>
            <w:r>
              <w:rPr>
                <w:b w:val="false"/>
                <w:bCs w:val="false"/>
              </w:rPr>
              <w:t xml:space="preserve">T3</w:t>
            </w:r>
          </w:p>
        </w:tc>
        <w:tc>
          <w:tcPr>
            <w:tcW w:type="dxa" w:w="3300"/>
            <w:vAlign w:val="center"/>
          </w:tcPr>
          <w:p>
            <w:r>
              <w:rPr>
                <w:b w:val="false"/>
                <w:bCs w:val="false"/>
              </w:rPr>
              <w:t xml:space="preserve">Injection-style string in ProductCD field (' OR 1=1--)</w:t>
            </w:r>
          </w:p>
        </w:tc>
        <w:tc>
          <w:tcPr>
            <w:tcW w:type="dxa" w:w="1600"/>
            <w:vAlign w:val="center"/>
          </w:tcPr>
          <w:p>
            <w:r>
              <w:rPr>
                <w:b w:val="false"/>
                <w:bCs w:val="false"/>
              </w:rPr>
              <w:t xml:space="preserve">Safely handled (no DB backend)</w:t>
            </w:r>
          </w:p>
        </w:tc>
        <w:tc>
          <w:tcPr>
            <w:tcW w:type="dxa" w:w="1600"/>
            <w:vAlign w:val="center"/>
          </w:tcPr>
          <w:p>
            <w:r>
              <w:rPr>
                <w:b w:val="false"/>
                <w:bCs w:val="false"/>
              </w:rPr>
              <w:t xml:space="preserve">200, treated as opaque string</w:t>
            </w:r>
          </w:p>
        </w:tc>
        <w:tc>
          <w:tcPr>
            <w:tcW w:type="dxa" w:w="1150"/>
            <w:vAlign w:val="center"/>
          </w:tcPr>
          <w:p>
            <w:r>
              <w:rPr>
                <w:b/>
                <w:bCs/>
                <w:color w:val="2E7D32"/>
              </w:rPr>
              <w:t xml:space="preserve">PASS</w:t>
            </w:r>
          </w:p>
        </w:tc>
      </w:tr>
      <w:tr>
        <w:tc>
          <w:tcPr>
            <w:tcW w:type="dxa" w:w="700"/>
            <w:vAlign w:val="center"/>
          </w:tcPr>
          <w:p>
            <w:r>
              <w:rPr>
                <w:b w:val="false"/>
                <w:bCs w:val="false"/>
              </w:rPr>
              <w:t xml:space="preserve">T4</w:t>
            </w:r>
          </w:p>
        </w:tc>
        <w:tc>
          <w:tcPr>
            <w:tcW w:type="dxa" w:w="3300"/>
            <w:vAlign w:val="center"/>
          </w:tcPr>
          <w:p>
            <w:r>
              <w:rPr>
                <w:b w:val="false"/>
                <w:bCs w:val="false"/>
              </w:rPr>
              <w:t xml:space="preserve">TransactionAmt = 99,999,999 (out of declared bounds)</w:t>
            </w:r>
          </w:p>
        </w:tc>
        <w:tc>
          <w:tcPr>
            <w:tcW w:type="dxa" w:w="1600"/>
            <w:vAlign w:val="center"/>
          </w:tcPr>
          <w:p>
            <w:r>
              <w:rPr>
                <w:b w:val="false"/>
                <w:bCs w:val="false"/>
              </w:rPr>
              <w:t xml:space="preserve">422</w:t>
            </w:r>
          </w:p>
        </w:tc>
        <w:tc>
          <w:tcPr>
            <w:tcW w:type="dxa" w:w="1600"/>
            <w:vAlign w:val="center"/>
          </w:tcPr>
          <w:p>
            <w:r>
              <w:rPr>
                <w:b w:val="false"/>
                <w:bCs w:val="false"/>
              </w:rPr>
              <w:t xml:space="preserve">422 less_than_equal</w:t>
            </w:r>
          </w:p>
        </w:tc>
        <w:tc>
          <w:tcPr>
            <w:tcW w:type="dxa" w:w="1150"/>
            <w:vAlign w:val="center"/>
          </w:tcPr>
          <w:p>
            <w:r>
              <w:rPr>
                <w:b/>
                <w:bCs/>
                <w:color w:val="2E7D32"/>
              </w:rPr>
              <w:t xml:space="preserve">PASS</w:t>
            </w:r>
          </w:p>
        </w:tc>
      </w:tr>
      <w:tr>
        <w:tc>
          <w:tcPr>
            <w:tcW w:type="dxa" w:w="700"/>
            <w:vAlign w:val="center"/>
          </w:tcPr>
          <w:p>
            <w:r>
              <w:rPr>
                <w:b w:val="false"/>
                <w:bCs w:val="false"/>
              </w:rPr>
              <w:t xml:space="preserve">T5</w:t>
            </w:r>
          </w:p>
        </w:tc>
        <w:tc>
          <w:tcPr>
            <w:tcW w:type="dxa" w:w="3300"/>
            <w:vAlign w:val="center"/>
          </w:tcPr>
          <w:p>
            <w:r>
              <w:rPr>
                <w:b w:val="false"/>
                <w:bCs w:val="false"/>
              </w:rPr>
              <w:t xml:space="preserve">Extra field 'is_fraud' injected in request body (mass assignment)</w:t>
            </w:r>
          </w:p>
        </w:tc>
        <w:tc>
          <w:tcPr>
            <w:tcW w:type="dxa" w:w="1600"/>
            <w:vAlign w:val="center"/>
          </w:tcPr>
          <w:p>
            <w:r>
              <w:rPr>
                <w:b w:val="false"/>
                <w:bCs w:val="false"/>
              </w:rPr>
              <w:t xml:space="preserve">422</w:t>
            </w:r>
          </w:p>
        </w:tc>
        <w:tc>
          <w:tcPr>
            <w:tcW w:type="dxa" w:w="1600"/>
            <w:vAlign w:val="center"/>
          </w:tcPr>
          <w:p>
            <w:r>
              <w:rPr>
                <w:b w:val="false"/>
                <w:bCs w:val="false"/>
              </w:rPr>
              <w:t xml:space="preserve">422 extra_forbidden</w:t>
            </w:r>
          </w:p>
        </w:tc>
        <w:tc>
          <w:tcPr>
            <w:tcW w:type="dxa" w:w="1150"/>
            <w:vAlign w:val="center"/>
          </w:tcPr>
          <w:p>
            <w:r>
              <w:rPr>
                <w:b/>
                <w:bCs/>
                <w:color w:val="2E7D32"/>
              </w:rPr>
              <w:t xml:space="preserve">PASS</w:t>
            </w:r>
          </w:p>
        </w:tc>
      </w:tr>
      <w:tr>
        <w:tc>
          <w:tcPr>
            <w:tcW w:type="dxa" w:w="700"/>
            <w:vAlign w:val="center"/>
          </w:tcPr>
          <w:p>
            <w:r>
              <w:rPr>
                <w:b w:val="false"/>
                <w:bCs w:val="false"/>
              </w:rPr>
              <w:t xml:space="preserve">T6</w:t>
            </w:r>
          </w:p>
        </w:tc>
        <w:tc>
          <w:tcPr>
            <w:tcW w:type="dxa" w:w="3300"/>
            <w:vAlign w:val="center"/>
          </w:tcPr>
          <w:p>
            <w:r>
              <w:rPr>
                <w:b w:val="false"/>
                <w:bCs w:val="false"/>
              </w:rPr>
              <w:t xml:space="preserve">Wrong Content-Type (text/plain) with non-JSON body</w:t>
            </w:r>
          </w:p>
        </w:tc>
        <w:tc>
          <w:tcPr>
            <w:tcW w:type="dxa" w:w="1600"/>
            <w:vAlign w:val="center"/>
          </w:tcPr>
          <w:p>
            <w:r>
              <w:rPr>
                <w:b w:val="false"/>
                <w:bCs w:val="false"/>
              </w:rPr>
              <w:t xml:space="preserve">4xx, no crash</w:t>
            </w:r>
          </w:p>
        </w:tc>
        <w:tc>
          <w:tcPr>
            <w:tcW w:type="dxa" w:w="1600"/>
            <w:vAlign w:val="center"/>
          </w:tcPr>
          <w:p>
            <w:r>
              <w:rPr>
                <w:b w:val="false"/>
                <w:bCs w:val="false"/>
              </w:rPr>
              <w:t xml:space="preserve">422 model_attributes_type</w:t>
            </w:r>
          </w:p>
        </w:tc>
        <w:tc>
          <w:tcPr>
            <w:tcW w:type="dxa" w:w="1150"/>
            <w:vAlign w:val="center"/>
          </w:tcPr>
          <w:p>
            <w:r>
              <w:rPr>
                <w:b/>
                <w:bCs/>
                <w:color w:val="2E7D32"/>
              </w:rPr>
              <w:t xml:space="preserve">PASS</w:t>
            </w:r>
          </w:p>
        </w:tc>
      </w:tr>
      <w:tr>
        <w:tc>
          <w:tcPr>
            <w:tcW w:type="dxa" w:w="700"/>
            <w:vAlign w:val="center"/>
          </w:tcPr>
          <w:p>
            <w:r>
              <w:rPr>
                <w:b w:val="false"/>
                <w:bCs w:val="false"/>
              </w:rPr>
              <w:t xml:space="preserve">T7</w:t>
            </w:r>
          </w:p>
        </w:tc>
        <w:tc>
          <w:tcPr>
            <w:tcW w:type="dxa" w:w="3300"/>
            <w:vAlign w:val="center"/>
          </w:tcPr>
          <w:p>
            <w:r>
              <w:rPr>
                <w:b w:val="false"/>
                <w:bCs w:val="false"/>
              </w:rPr>
              <w:t xml:space="preserve">6 rapid login attempts with wrong password (limit = 5/min)</w:t>
            </w:r>
          </w:p>
        </w:tc>
        <w:tc>
          <w:tcPr>
            <w:tcW w:type="dxa" w:w="1600"/>
            <w:vAlign w:val="center"/>
          </w:tcPr>
          <w:p>
            <w:r>
              <w:rPr>
                <w:b w:val="false"/>
                <w:bCs w:val="false"/>
              </w:rPr>
              <w:t xml:space="preserve">429 after 5th</w:t>
            </w:r>
          </w:p>
        </w:tc>
        <w:tc>
          <w:tcPr>
            <w:tcW w:type="dxa" w:w="1600"/>
            <w:vAlign w:val="center"/>
          </w:tcPr>
          <w:p>
            <w:r>
              <w:rPr>
                <w:b w:val="false"/>
                <w:bCs w:val="false"/>
              </w:rPr>
              <w:t xml:space="preserve">401 x5 then 429</w:t>
            </w:r>
          </w:p>
        </w:tc>
        <w:tc>
          <w:tcPr>
            <w:tcW w:type="dxa" w:w="1150"/>
            <w:vAlign w:val="center"/>
          </w:tcPr>
          <w:p>
            <w:r>
              <w:rPr>
                <w:b/>
                <w:bCs/>
                <w:color w:val="C00000"/>
              </w:rPr>
              <w:t xml:space="preserve">PASS (after remediation)</w:t>
            </w:r>
          </w:p>
        </w:tc>
      </w:tr>
      <w:tr>
        <w:tc>
          <w:tcPr>
            <w:tcW w:type="dxa" w:w="700"/>
            <w:vAlign w:val="center"/>
          </w:tcPr>
          <w:p>
            <w:r>
              <w:rPr>
                <w:b w:val="false"/>
                <w:bCs w:val="false"/>
              </w:rPr>
              <w:t xml:space="preserve">T8</w:t>
            </w:r>
          </w:p>
        </w:tc>
        <w:tc>
          <w:tcPr>
            <w:tcW w:type="dxa" w:w="3300"/>
            <w:vAlign w:val="center"/>
          </w:tcPr>
          <w:p>
            <w:r>
              <w:rPr>
                <w:b w:val="false"/>
                <w:bCs w:val="false"/>
              </w:rPr>
              <w:t xml:space="preserve">Malformed JSON body sent to /inference/predict</w:t>
            </w:r>
          </w:p>
        </w:tc>
        <w:tc>
          <w:tcPr>
            <w:tcW w:type="dxa" w:w="1600"/>
            <w:vAlign w:val="center"/>
          </w:tcPr>
          <w:p>
            <w:r>
              <w:rPr>
                <w:b w:val="false"/>
                <w:bCs w:val="false"/>
              </w:rPr>
              <w:t xml:space="preserve">Structured error, no stack trace</w:t>
            </w:r>
          </w:p>
        </w:tc>
        <w:tc>
          <w:tcPr>
            <w:tcW w:type="dxa" w:w="1600"/>
            <w:vAlign w:val="center"/>
          </w:tcPr>
          <w:p>
            <w:r>
              <w:rPr>
                <w:b w:val="false"/>
                <w:bCs w:val="false"/>
              </w:rPr>
              <w:t xml:space="preserve">422 json_invalid, no traceback</w:t>
            </w:r>
          </w:p>
        </w:tc>
        <w:tc>
          <w:tcPr>
            <w:tcW w:type="dxa" w:w="1150"/>
            <w:vAlign w:val="center"/>
          </w:tcPr>
          <w:p>
            <w:r>
              <w:rPr>
                <w:b/>
                <w:bCs/>
                <w:color w:val="2E7D32"/>
              </w:rPr>
              <w:t xml:space="preserve">PASS</w:t>
            </w:r>
          </w:p>
        </w:tc>
      </w:tr>
      <w:tr>
        <w:tc>
          <w:tcPr>
            <w:tcW w:type="dxa" w:w="700"/>
            <w:vAlign w:val="center"/>
          </w:tcPr>
          <w:p>
            <w:r>
              <w:rPr>
                <w:b w:val="false"/>
                <w:bCs w:val="false"/>
              </w:rPr>
              <w:t xml:space="preserve">T9</w:t>
            </w:r>
          </w:p>
        </w:tc>
        <w:tc>
          <w:tcPr>
            <w:tcW w:type="dxa" w:w="3300"/>
            <w:vAlign w:val="center"/>
          </w:tcPr>
          <w:p>
            <w:r>
              <w:rPr>
                <w:b w:val="false"/>
                <w:bCs w:val="false"/>
              </w:rPr>
              <w:t xml:space="preserve">GET /docs and /redoc with ENVIRONMENT=production</w:t>
            </w:r>
          </w:p>
        </w:tc>
        <w:tc>
          <w:tcPr>
            <w:tcW w:type="dxa" w:w="1600"/>
            <w:vAlign w:val="center"/>
          </w:tcPr>
          <w:p>
            <w:r>
              <w:rPr>
                <w:b w:val="false"/>
                <w:bCs w:val="false"/>
              </w:rPr>
              <w:t xml:space="preserve">404</w:t>
            </w:r>
          </w:p>
        </w:tc>
        <w:tc>
          <w:tcPr>
            <w:tcW w:type="dxa" w:w="1600"/>
            <w:vAlign w:val="center"/>
          </w:tcPr>
          <w:p>
            <w:r>
              <w:rPr>
                <w:b w:val="false"/>
                <w:bCs w:val="false"/>
              </w:rPr>
              <w:t xml:space="preserve">404 / 404</w:t>
            </w:r>
          </w:p>
        </w:tc>
        <w:tc>
          <w:tcPr>
            <w:tcW w:type="dxa" w:w="1150"/>
            <w:vAlign w:val="center"/>
          </w:tcPr>
          <w:p>
            <w:r>
              <w:rPr>
                <w:b/>
                <w:bCs/>
                <w:color w:val="2E7D32"/>
              </w:rPr>
              <w:t xml:space="preserve">PASS</w:t>
            </w:r>
          </w:p>
        </w:tc>
      </w:tr>
      <w:tr>
        <w:tc>
          <w:tcPr>
            <w:tcW w:type="dxa" w:w="700"/>
            <w:vAlign w:val="center"/>
          </w:tcPr>
          <w:p>
            <w:r>
              <w:rPr>
                <w:b w:val="false"/>
                <w:bCs w:val="false"/>
              </w:rPr>
              <w:t xml:space="preserve">T10</w:t>
            </w:r>
          </w:p>
        </w:tc>
        <w:tc>
          <w:tcPr>
            <w:tcW w:type="dxa" w:w="3300"/>
            <w:vAlign w:val="center"/>
          </w:tcPr>
          <w:p>
            <w:r>
              <w:rPr>
                <w:b w:val="false"/>
                <w:bCs w:val="false"/>
              </w:rPr>
              <w:t xml:space="preserve">Security headers present on health-check response</w:t>
            </w:r>
          </w:p>
        </w:tc>
        <w:tc>
          <w:tcPr>
            <w:tcW w:type="dxa" w:w="1600"/>
            <w:vAlign w:val="center"/>
          </w:tcPr>
          <w:p>
            <w:r>
              <w:rPr>
                <w:b w:val="false"/>
                <w:bCs w:val="false"/>
              </w:rPr>
              <w:t xml:space="preserve">HSTS, CSP, X-Frame-Options, X-Content-Type-Options present</w:t>
            </w:r>
          </w:p>
        </w:tc>
        <w:tc>
          <w:tcPr>
            <w:tcW w:type="dxa" w:w="1600"/>
            <w:vAlign w:val="center"/>
          </w:tcPr>
          <w:p>
            <w:r>
              <w:rPr>
                <w:b w:val="false"/>
                <w:bCs w:val="false"/>
              </w:rPr>
              <w:t xml:space="preserve">All present</w:t>
            </w:r>
          </w:p>
        </w:tc>
        <w:tc>
          <w:tcPr>
            <w:tcW w:type="dxa" w:w="1150"/>
            <w:vAlign w:val="center"/>
          </w:tcPr>
          <w:p>
            <w:r>
              <w:rPr>
                <w:b/>
                <w:bCs/>
                <w:color w:val="2E7D32"/>
              </w:rPr>
              <w:t xml:space="preserve">PASS</w:t>
            </w:r>
          </w:p>
        </w:tc>
      </w:tr>
    </w:tbl>
    <w:p>
      <w:r>
        <w:br w:type="page"/>
      </w:r>
    </w:p>
    <w:p>
      <w:pPr>
        <w:pStyle w:val="Heading1"/>
        <w:spacing w:after="150" w:before="300"/>
      </w:pPr>
      <w:r>
        <w:t xml:space="preserve">5. OWASP API Security Top 10 (2023) Coverage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700"/>
        <w:gridCol w:w="3950"/>
      </w:tblGrid>
      <w:tr>
        <w:trPr>
          <w:tblHeader/>
        </w:trPr>
        <w:tc>
          <w:tcPr>
            <w:tcW w:type="dxa" w:w="1100"/>
            <w:shd w:fill="1F3864" w:val="clear"/>
            <w:vAlign w:val="center"/>
          </w:tcPr>
          <w:p>
            <w:r>
              <w:rPr>
                <w:b/>
                <w:bCs/>
                <w:color w:val="FFFFFF"/>
              </w:rPr>
              <w:t xml:space="preserve">Category</w:t>
            </w:r>
          </w:p>
        </w:tc>
        <w:tc>
          <w:tcPr>
            <w:tcW w:type="dxa" w:w="2600"/>
            <w:shd w:fill="1F3864" w:val="clear"/>
            <w:vAlign w:val="center"/>
          </w:tcPr>
          <w:p>
            <w:r>
              <w:rPr>
                <w:b/>
                <w:bCs/>
                <w:color w:val="FFFFFF"/>
              </w:rPr>
              <w:t xml:space="preserve">Risk</w:t>
            </w:r>
          </w:p>
        </w:tc>
        <w:tc>
          <w:tcPr>
            <w:tcW w:type="dxa" w:w="1700"/>
            <w:shd w:fill="1F3864" w:val="clear"/>
            <w:vAlign w:val="center"/>
          </w:tcPr>
          <w:p>
            <w:r>
              <w:rPr>
                <w:b/>
                <w:bCs/>
                <w:color w:val="FFFFFF"/>
              </w:rPr>
              <w:t xml:space="preserve">Status</w:t>
            </w:r>
          </w:p>
        </w:tc>
        <w:tc>
          <w:tcPr>
            <w:tcW w:type="dxa" w:w="3950"/>
            <w:shd w:fill="1F3864" w:val="clear"/>
            <w:vAlign w:val="center"/>
          </w:tcPr>
          <w:p>
            <w:r>
              <w:rPr>
                <w:b/>
                <w:bCs/>
                <w:color w:val="FFFFFF"/>
              </w:rPr>
              <w:t xml:space="preserve">Notes</w:t>
            </w:r>
          </w:p>
        </w:tc>
      </w:tr>
      <w:tr>
        <w:tc>
          <w:tcPr>
            <w:tcW w:type="dxa" w:w="1100"/>
            <w:vAlign w:val="center"/>
          </w:tcPr>
          <w:p>
            <w:r>
              <w:rPr>
                <w:b/>
                <w:bCs/>
              </w:rPr>
              <w:t xml:space="preserve">API1:2023</w:t>
            </w:r>
          </w:p>
        </w:tc>
        <w:tc>
          <w:tcPr>
            <w:tcW w:type="dxa" w:w="2600"/>
            <w:vAlign w:val="center"/>
          </w:tcPr>
          <w:p>
            <w:r>
              <w:rPr>
                <w:b w:val="false"/>
                <w:bCs w:val="false"/>
              </w:rPr>
              <w:t xml:space="preserve">Broken Object Level Authorization</w:t>
            </w:r>
          </w:p>
        </w:tc>
        <w:tc>
          <w:tcPr>
            <w:tcW w:type="dxa" w:w="1700"/>
            <w:vAlign w:val="center"/>
          </w:tcPr>
          <w:p>
            <w:r>
              <w:rPr>
                <w:b/>
                <w:bCs/>
                <w:color w:val="808080"/>
              </w:rPr>
              <w:t xml:space="preserve">Not Applicable</w:t>
            </w:r>
          </w:p>
        </w:tc>
        <w:tc>
          <w:tcPr>
            <w:tcW w:type="dxa" w:w="3950"/>
            <w:vAlign w:val="center"/>
          </w:tcPr>
          <w:p>
            <w:r>
              <w:rPr>
                <w:b w:val="false"/>
                <w:bCs w:val="false"/>
              </w:rPr>
              <w:t xml:space="preserve">No per-object resource IDs are exposed by this API (single stateless inference endpoint). Re-assess if per-customer transaction history endpoints are added.</w:t>
            </w:r>
          </w:p>
        </w:tc>
      </w:tr>
      <w:tr>
        <w:tc>
          <w:tcPr>
            <w:tcW w:type="dxa" w:w="1100"/>
            <w:vAlign w:val="center"/>
          </w:tcPr>
          <w:p>
            <w:r>
              <w:rPr>
                <w:b/>
                <w:bCs/>
              </w:rPr>
              <w:t xml:space="preserve">API2:2023</w:t>
            </w:r>
          </w:p>
        </w:tc>
        <w:tc>
          <w:tcPr>
            <w:tcW w:type="dxa" w:w="2600"/>
            <w:vAlign w:val="center"/>
          </w:tcPr>
          <w:p>
            <w:r>
              <w:rPr>
                <w:b w:val="false"/>
                <w:bCs w:val="false"/>
              </w:rPr>
              <w:t xml:space="preserve">Broken Authentication</w:t>
            </w:r>
          </w:p>
        </w:tc>
        <w:tc>
          <w:tcPr>
            <w:tcW w:type="dxa" w:w="1700"/>
            <w:vAlign w:val="center"/>
          </w:tcPr>
          <w:p>
            <w:r>
              <w:rPr>
                <w:b/>
                <w:bCs/>
                <w:color w:val="2E7D32"/>
              </w:rPr>
              <w:t xml:space="preserve">Tested — Remediated</w:t>
            </w:r>
          </w:p>
        </w:tc>
        <w:tc>
          <w:tcPr>
            <w:tcW w:type="dxa" w:w="3950"/>
            <w:vAlign w:val="center"/>
          </w:tcPr>
          <w:p>
            <w:r>
              <w:rPr>
                <w:b w:val="false"/>
                <w:bCs w:val="false"/>
              </w:rPr>
              <w:t xml:space="preserve">JWT expiry enforced (15 min); brute-force protection added on /auth/token (F1). Recommend migrating from the local user table to Azure AD / Entra ID before go-live (F4).</w:t>
            </w:r>
          </w:p>
        </w:tc>
      </w:tr>
      <w:tr>
        <w:tc>
          <w:tcPr>
            <w:tcW w:type="dxa" w:w="1100"/>
            <w:vAlign w:val="center"/>
          </w:tcPr>
          <w:p>
            <w:r>
              <w:rPr>
                <w:b/>
                <w:bCs/>
              </w:rPr>
              <w:t xml:space="preserve">API3:2023</w:t>
            </w:r>
          </w:p>
        </w:tc>
        <w:tc>
          <w:tcPr>
            <w:tcW w:type="dxa" w:w="2600"/>
            <w:vAlign w:val="center"/>
          </w:tcPr>
          <w:p>
            <w:r>
              <w:rPr>
                <w:b w:val="false"/>
                <w:bCs w:val="false"/>
              </w:rPr>
              <w:t xml:space="preserve">Broken Object Property Level Authorization</w:t>
            </w:r>
          </w:p>
        </w:tc>
        <w:tc>
          <w:tcPr>
            <w:tcW w:type="dxa" w:w="1700"/>
            <w:vAlign w:val="center"/>
          </w:tcPr>
          <w:p>
            <w:r>
              <w:rPr>
                <w:b/>
                <w:bCs/>
                <w:color w:val="2E7D32"/>
              </w:rPr>
              <w:t xml:space="preserve">Tested — Pass</w:t>
            </w:r>
          </w:p>
        </w:tc>
        <w:tc>
          <w:tcPr>
            <w:tcW w:type="dxa" w:w="3950"/>
            <w:vAlign w:val="center"/>
          </w:tcPr>
          <w:p>
            <w:r>
              <w:rPr>
                <w:b w:val="false"/>
                <w:bCs w:val="false"/>
              </w:rPr>
              <w:t xml:space="preserve">Pydantic models use extra="forbid"; mass-assignment attempts (e.g. injecting is_fraud) are rejected with 422.</w:t>
            </w:r>
          </w:p>
        </w:tc>
      </w:tr>
      <w:tr>
        <w:tc>
          <w:tcPr>
            <w:tcW w:type="dxa" w:w="1100"/>
            <w:vAlign w:val="center"/>
          </w:tcPr>
          <w:p>
            <w:r>
              <w:rPr>
                <w:b/>
                <w:bCs/>
              </w:rPr>
              <w:t xml:space="preserve">API4:2023</w:t>
            </w:r>
          </w:p>
        </w:tc>
        <w:tc>
          <w:tcPr>
            <w:tcW w:type="dxa" w:w="2600"/>
            <w:vAlign w:val="center"/>
          </w:tcPr>
          <w:p>
            <w:r>
              <w:rPr>
                <w:b w:val="false"/>
                <w:bCs w:val="false"/>
              </w:rPr>
              <w:t xml:space="preserve">Unrestricted Resource Consumption</w:t>
            </w:r>
          </w:p>
        </w:tc>
        <w:tc>
          <w:tcPr>
            <w:tcW w:type="dxa" w:w="1700"/>
            <w:vAlign w:val="center"/>
          </w:tcPr>
          <w:p>
            <w:r>
              <w:rPr>
                <w:b/>
                <w:bCs/>
                <w:color w:val="2E7D32"/>
              </w:rPr>
              <w:t xml:space="preserve">Tested — Remediated</w:t>
            </w:r>
          </w:p>
        </w:tc>
        <w:tc>
          <w:tcPr>
            <w:tcW w:type="dxa" w:w="3950"/>
            <w:vAlign w:val="center"/>
          </w:tcPr>
          <w:p>
            <w:r>
              <w:rPr>
                <w:b w:val="false"/>
                <w:bCs w:val="false"/>
              </w:rPr>
              <w:t xml:space="preserve">Global rate limiting (30/min) plus a stricter 5/min limit on the auth endpoint; request body size and file-upload caps set at the WAF layer.</w:t>
            </w:r>
          </w:p>
        </w:tc>
      </w:tr>
      <w:tr>
        <w:tc>
          <w:tcPr>
            <w:tcW w:type="dxa" w:w="1100"/>
            <w:vAlign w:val="center"/>
          </w:tcPr>
          <w:p>
            <w:r>
              <w:rPr>
                <w:b/>
                <w:bCs/>
              </w:rPr>
              <w:t xml:space="preserve">API5:2023</w:t>
            </w:r>
          </w:p>
        </w:tc>
        <w:tc>
          <w:tcPr>
            <w:tcW w:type="dxa" w:w="2600"/>
            <w:vAlign w:val="center"/>
          </w:tcPr>
          <w:p>
            <w:r>
              <w:rPr>
                <w:b w:val="false"/>
                <w:bCs w:val="false"/>
              </w:rPr>
              <w:t xml:space="preserve">Broken Function Level Authorization</w:t>
            </w:r>
          </w:p>
        </w:tc>
        <w:tc>
          <w:tcPr>
            <w:tcW w:type="dxa" w:w="1700"/>
            <w:vAlign w:val="center"/>
          </w:tcPr>
          <w:p>
            <w:r>
              <w:rPr>
                <w:b/>
                <w:bCs/>
                <w:color w:val="2E7D32"/>
              </w:rPr>
              <w:t xml:space="preserve">Tested — Pass</w:t>
            </w:r>
          </w:p>
        </w:tc>
        <w:tc>
          <w:tcPr>
            <w:tcW w:type="dxa" w:w="3950"/>
            <w:vAlign w:val="center"/>
          </w:tcPr>
          <w:p>
            <w:r>
              <w:rPr>
                <w:b w:val="false"/>
                <w:bCs w:val="false"/>
              </w:rPr>
              <w:t xml:space="preserve">require_role() dependency enforces RBAC; the inference endpoint is restricted to ml_engineer / service_client roles.</w:t>
            </w:r>
          </w:p>
        </w:tc>
      </w:tr>
      <w:tr>
        <w:tc>
          <w:tcPr>
            <w:tcW w:type="dxa" w:w="1100"/>
            <w:vAlign w:val="center"/>
          </w:tcPr>
          <w:p>
            <w:r>
              <w:rPr>
                <w:b/>
                <w:bCs/>
              </w:rPr>
              <w:t xml:space="preserve">API6:2023</w:t>
            </w:r>
          </w:p>
        </w:tc>
        <w:tc>
          <w:tcPr>
            <w:tcW w:type="dxa" w:w="2600"/>
            <w:vAlign w:val="center"/>
          </w:tcPr>
          <w:p>
            <w:r>
              <w:rPr>
                <w:b w:val="false"/>
                <w:bCs w:val="false"/>
              </w:rPr>
              <w:t xml:space="preserve">Unrestricted Access to Sensitive Business Flows</w:t>
            </w:r>
          </w:p>
        </w:tc>
        <w:tc>
          <w:tcPr>
            <w:tcW w:type="dxa" w:w="1700"/>
            <w:vAlign w:val="center"/>
          </w:tcPr>
          <w:p>
            <w:r>
              <w:rPr>
                <w:b/>
                <w:bCs/>
                <w:color w:val="ED7D31"/>
              </w:rPr>
              <w:t xml:space="preserve">Recommend further testing</w:t>
            </w:r>
          </w:p>
        </w:tc>
        <w:tc>
          <w:tcPr>
            <w:tcW w:type="dxa" w:w="3950"/>
            <w:vAlign w:val="center"/>
          </w:tcPr>
          <w:p>
            <w:r>
              <w:rPr>
                <w:b w:val="false"/>
                <w:bCs w:val="false"/>
              </w:rPr>
              <w:t xml:space="preserve">Business-logic abuse (e.g. scripted mass-scoring to reverse-engineer the model) should be tested once deployed with production-realistic traffic patterns.</w:t>
            </w:r>
          </w:p>
        </w:tc>
      </w:tr>
      <w:tr>
        <w:tc>
          <w:tcPr>
            <w:tcW w:type="dxa" w:w="1100"/>
            <w:vAlign w:val="center"/>
          </w:tcPr>
          <w:p>
            <w:r>
              <w:rPr>
                <w:b/>
                <w:bCs/>
              </w:rPr>
              <w:t xml:space="preserve">API7:2023</w:t>
            </w:r>
          </w:p>
        </w:tc>
        <w:tc>
          <w:tcPr>
            <w:tcW w:type="dxa" w:w="2600"/>
            <w:vAlign w:val="center"/>
          </w:tcPr>
          <w:p>
            <w:r>
              <w:rPr>
                <w:b w:val="false"/>
                <w:bCs w:val="false"/>
              </w:rPr>
              <w:t xml:space="preserve">Server-Side Request Forgery (SSRF)</w:t>
            </w:r>
          </w:p>
        </w:tc>
        <w:tc>
          <w:tcPr>
            <w:tcW w:type="dxa" w:w="1700"/>
            <w:vAlign w:val="center"/>
          </w:tcPr>
          <w:p>
            <w:r>
              <w:rPr>
                <w:b/>
                <w:bCs/>
                <w:color w:val="808080"/>
              </w:rPr>
              <w:t xml:space="preserve">Not Applicable</w:t>
            </w:r>
          </w:p>
        </w:tc>
        <w:tc>
          <w:tcPr>
            <w:tcW w:type="dxa" w:w="3950"/>
            <w:vAlign w:val="center"/>
          </w:tcPr>
          <w:p>
            <w:r>
              <w:rPr>
                <w:b w:val="false"/>
                <w:bCs w:val="false"/>
              </w:rPr>
              <w:t xml:space="preserve">The API does not accept or fetch user-supplied URLs.</w:t>
            </w:r>
          </w:p>
        </w:tc>
      </w:tr>
      <w:tr>
        <w:tc>
          <w:tcPr>
            <w:tcW w:type="dxa" w:w="1100"/>
            <w:vAlign w:val="center"/>
          </w:tcPr>
          <w:p>
            <w:r>
              <w:rPr>
                <w:b/>
                <w:bCs/>
              </w:rPr>
              <w:t xml:space="preserve">API8:2023</w:t>
            </w:r>
          </w:p>
        </w:tc>
        <w:tc>
          <w:tcPr>
            <w:tcW w:type="dxa" w:w="2600"/>
            <w:vAlign w:val="center"/>
          </w:tcPr>
          <w:p>
            <w:r>
              <w:rPr>
                <w:b w:val="false"/>
                <w:bCs w:val="false"/>
              </w:rPr>
              <w:t xml:space="preserve">Security Misconfiguration</w:t>
            </w:r>
          </w:p>
        </w:tc>
        <w:tc>
          <w:tcPr>
            <w:tcW w:type="dxa" w:w="1700"/>
            <w:vAlign w:val="center"/>
          </w:tcPr>
          <w:p>
            <w:r>
              <w:rPr>
                <w:b/>
                <w:bCs/>
                <w:color w:val="2E7D32"/>
              </w:rPr>
              <w:t xml:space="preserve">Tested — Remediated</w:t>
            </w:r>
          </w:p>
        </w:tc>
        <w:tc>
          <w:tcPr>
            <w:tcW w:type="dxa" w:w="3950"/>
            <w:vAlign w:val="center"/>
          </w:tcPr>
          <w:p>
            <w:r>
              <w:rPr>
                <w:b w:val="false"/>
                <w:bCs w:val="false"/>
              </w:rPr>
              <w:t xml:space="preserve">Server fingerprinting header removed (F2); Swagger/ReDoc confirmed disabled outside development (F3); explicit CORS allow-list; strict TLS policy defined in the Application Gateway WAF config.</w:t>
            </w:r>
          </w:p>
        </w:tc>
      </w:tr>
      <w:tr>
        <w:tc>
          <w:tcPr>
            <w:tcW w:type="dxa" w:w="1100"/>
            <w:vAlign w:val="center"/>
          </w:tcPr>
          <w:p>
            <w:r>
              <w:rPr>
                <w:b/>
                <w:bCs/>
              </w:rPr>
              <w:t xml:space="preserve">API9:2023</w:t>
            </w:r>
          </w:p>
        </w:tc>
        <w:tc>
          <w:tcPr>
            <w:tcW w:type="dxa" w:w="2600"/>
            <w:vAlign w:val="center"/>
          </w:tcPr>
          <w:p>
            <w:r>
              <w:rPr>
                <w:b w:val="false"/>
                <w:bCs w:val="false"/>
              </w:rPr>
              <w:t xml:space="preserve">Improper Inventory Management</w:t>
            </w:r>
          </w:p>
        </w:tc>
        <w:tc>
          <w:tcPr>
            <w:tcW w:type="dxa" w:w="1700"/>
            <w:vAlign w:val="center"/>
          </w:tcPr>
          <w:p>
            <w:r>
              <w:rPr>
                <w:b/>
                <w:bCs/>
                <w:color w:val="ED7D31"/>
              </w:rPr>
              <w:t xml:space="preserve">Partial</w:t>
            </w:r>
          </w:p>
        </w:tc>
        <w:tc>
          <w:tcPr>
            <w:tcW w:type="dxa" w:w="3950"/>
            <w:vAlign w:val="center"/>
          </w:tcPr>
          <w:p>
            <w:r>
              <w:rPr>
                <w:b w:val="false"/>
                <w:bCs w:val="false"/>
              </w:rPr>
              <w:t xml:space="preserve">API is versioned under /api/v1. Recommend maintaining a living API inventory + Key Vault secret inventory as the service surface grows.</w:t>
            </w:r>
          </w:p>
        </w:tc>
      </w:tr>
      <w:tr>
        <w:tc>
          <w:tcPr>
            <w:tcW w:type="dxa" w:w="1100"/>
            <w:vAlign w:val="center"/>
          </w:tcPr>
          <w:p>
            <w:r>
              <w:rPr>
                <w:b/>
                <w:bCs/>
              </w:rPr>
              <w:t xml:space="preserve">API10:2023</w:t>
            </w:r>
          </w:p>
        </w:tc>
        <w:tc>
          <w:tcPr>
            <w:tcW w:type="dxa" w:w="2600"/>
            <w:vAlign w:val="center"/>
          </w:tcPr>
          <w:p>
            <w:r>
              <w:rPr>
                <w:b w:val="false"/>
                <w:bCs w:val="false"/>
              </w:rPr>
              <w:t xml:space="preserve">Unsafe Consumption of APIs</w:t>
            </w:r>
          </w:p>
        </w:tc>
        <w:tc>
          <w:tcPr>
            <w:tcW w:type="dxa" w:w="1700"/>
            <w:vAlign w:val="center"/>
          </w:tcPr>
          <w:p>
            <w:r>
              <w:rPr>
                <w:b/>
                <w:bCs/>
                <w:color w:val="808080"/>
              </w:rPr>
              <w:t xml:space="preserve">Not Applicable</w:t>
            </w:r>
          </w:p>
        </w:tc>
        <w:tc>
          <w:tcPr>
            <w:tcW w:type="dxa" w:w="3950"/>
            <w:vAlign w:val="center"/>
          </w:tcPr>
          <w:p>
            <w:r>
              <w:rPr>
                <w:b w:val="false"/>
                <w:bCs w:val="false"/>
              </w:rPr>
              <w:t xml:space="preserve">The service does not currently consume third-party/upstream APIs.</w:t>
            </w:r>
          </w:p>
        </w:tc>
      </w:tr>
    </w:tbl>
    <w:p>
      <w:pPr>
        <w:pStyle w:val="Heading1"/>
        <w:spacing w:after="150" w:before="300"/>
      </w:pPr>
      <w:r>
        <w:t xml:space="preserve">6. Recommendations Going Forward</w:t>
      </w:r>
    </w:p>
    <w:p>
      <w:pPr>
        <w:pStyle w:val="ListParagraph"/>
        <w:numPr>
          <w:ilvl w:val="0"/>
          <w:numId w:val="1"/>
        </w:numPr>
        <w:spacing w:after="60"/>
      </w:pPr>
      <w:r>
        <w:t xml:space="preserve">Replace the demo user store with Azure AD (Entra ID) before production go-live (F4).</w:t>
      </w:r>
    </w:p>
    <w:p>
      <w:pPr>
        <w:pStyle w:val="ListParagraph"/>
        <w:numPr>
          <w:ilvl w:val="0"/>
          <w:numId w:val="1"/>
        </w:numPr>
        <w:spacing w:after="60"/>
      </w:pPr>
      <w:r>
        <w:t xml:space="preserve">Run an authenticated OWASP ZAP / Burp Suite active scan against the deployed AKS endpoint once live, in addition to this source-available assessment.</w:t>
      </w:r>
    </w:p>
    <w:p>
      <w:pPr>
        <w:pStyle w:val="ListParagraph"/>
        <w:numPr>
          <w:ilvl w:val="0"/>
          <w:numId w:val="1"/>
        </w:numPr>
        <w:spacing w:after="60"/>
      </w:pPr>
      <w:r>
        <w:t xml:space="preserve">Add automated security regression tests (the 10 cases in Section 4) to the CI/CD pipeline so future changes cannot silently reintroduce F1/F2.</w:t>
      </w:r>
    </w:p>
    <w:p>
      <w:pPr>
        <w:pStyle w:val="ListParagraph"/>
        <w:numPr>
          <w:ilvl w:val="0"/>
          <w:numId w:val="1"/>
        </w:numPr>
        <w:spacing w:after="60"/>
      </w:pPr>
      <w:r>
        <w:t xml:space="preserve">Periodically re-test business-logic abuse scenarios (API6) once real traffic patterns are known.</w:t>
      </w:r>
    </w:p>
    <w:p>
      <w:pPr>
        <w:pStyle w:val="ListParagraph"/>
        <w:numPr>
          <w:ilvl w:val="0"/>
          <w:numId w:val="1"/>
        </w:numPr>
        <w:spacing w:after="60"/>
      </w:pPr>
      <w:r>
        <w:t xml:space="preserve">Rotate the JWT signing secret and Fernet field-encryption key on a defined schedule via Key Vault.</w:t>
      </w:r>
    </w:p>
    <w:p>
      <w:pPr>
        <w:pStyle w:val="Heading1"/>
        <w:spacing w:after="150" w:before="300"/>
      </w:pPr>
      <w:r>
        <w:t xml:space="preserve">7. Conclusion</w:t>
      </w:r>
    </w:p>
    <w:p>
      <w:pPr>
        <w:spacing w:after="120"/>
      </w:pPr>
      <w:r>
        <w:t xml:space="preserve">The fraud inference API demonstrates a solid security baseline: strong input validation, working authorization enforcement, and no unhandled information leakage in error paths. The two issues found during this engagement were remediated within the same testing cycle. One item (F4) remains open pending the planned Azure AD migration and should be resolved before the service is exposed to production traffic.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2026-07-04T12:39:55.825Z</dcterms:created>
  <dcterms:modified xsi:type="dcterms:W3CDTF">2026-07-04T12:39:55.826Z</dcterms:modified>
</cp:coreProperties>
</file>

<file path=docProps/custom.xml><?xml version="1.0" encoding="utf-8"?>
<Properties xmlns="http://schemas.openxmlformats.org/officeDocument/2006/custom-properties" xmlns:vt="http://schemas.openxmlformats.org/officeDocument/2006/docPropsVTypes"/>
</file>