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1920240" cy="1280160"/>
            <wp:docPr id="1" name="Picture 1"/>
            <wp:cNvGraphicFramePr>
              <a:graphicFrameLocks noChangeAspect="1"/>
            </wp:cNvGraphicFramePr>
            <a:graphic>
              <a:graphicData uri="http://schemas.openxmlformats.org/drawingml/2006/picture">
                <pic:pic>
                  <pic:nvPicPr>
                    <pic:cNvPr id="0" name="DESCRIPTOR 2 LINE B.png"/>
                    <pic:cNvPicPr/>
                  </pic:nvPicPr>
                  <pic:blipFill>
                    <a:blip r:embed="rId10"/>
                    <a:stretch>
                      <a:fillRect/>
                    </a:stretch>
                  </pic:blipFill>
                  <pic:spPr>
                    <a:xfrm>
                      <a:off x="0" y="0"/>
                      <a:ext cx="1920240" cy="1280160"/>
                    </a:xfrm>
                    <a:prstGeom prst="rect"/>
                  </pic:spPr>
                </pic:pic>
              </a:graphicData>
            </a:graphic>
          </wp:inline>
        </w:drawing>
      </w:r>
    </w:p>
    <w:p>
      <w:pPr>
        <w:jc w:val="center"/>
      </w:pPr>
      <w:r>
        <w:rPr>
          <w:b/>
          <w:color w:val="D71920"/>
          <w:sz w:val="22"/>
        </w:rPr>
        <w:t>ÉTUDE DE CAS</w:t>
      </w:r>
    </w:p>
    <w:p>
      <w:pPr>
        <w:spacing w:after="100"/>
        <w:jc w:val="center"/>
      </w:pPr>
      <w:r>
        <w:rPr>
          <w:rFonts w:ascii="Aptos Display" w:hAnsi="Aptos Display"/>
          <w:b/>
          <w:color w:val="111827"/>
          <w:sz w:val="44"/>
        </w:rPr>
        <w:t>Ciblage intelligent des appels d’offres</w:t>
      </w:r>
    </w:p>
    <w:p>
      <w:pPr>
        <w:spacing w:after="280"/>
        <w:jc w:val="center"/>
      </w:pPr>
      <w:r>
        <w:rPr>
          <w:color w:val="6B7280"/>
          <w:sz w:val="26"/>
        </w:rPr>
        <w:t>IA appliquée, priorisation d’opportunités et avantage concurrentiel durable</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F3F4F6"/>
            <w:tcBorders>
              <w:left w:val="single" w:sz="6" w:color="E5E7EB"/>
              <w:top w:val="single" w:sz="8" w:color="D71920"/>
              <w:right w:val="single" w:sz="6" w:color="E5E7EB"/>
              <w:bottom w:val="single" w:sz="6" w:color="E5E7EB"/>
            </w:tcBorders>
          </w:tcPr>
          <w:p>
            <w:pPr>
              <w:jc w:val="center"/>
            </w:pPr>
            <w:r>
              <w:rPr>
                <w:b/>
                <w:color w:val="D71920"/>
                <w:sz w:val="19"/>
              </w:rPr>
              <w:t>CLIENT</w:t>
            </w:r>
          </w:p>
        </w:tc>
        <w:tc>
          <w:tcPr>
            <w:tcW w:type="dxa" w:w="3312"/>
            <w:shd w:fill="F3F4F6"/>
            <w:tcBorders>
              <w:left w:val="single" w:sz="6" w:color="E5E7EB"/>
              <w:top w:val="single" w:sz="8" w:color="D71920"/>
              <w:right w:val="single" w:sz="6" w:color="E5E7EB"/>
              <w:bottom w:val="single" w:sz="6" w:color="E5E7EB"/>
            </w:tcBorders>
          </w:tcPr>
          <w:p>
            <w:pPr>
              <w:jc w:val="center"/>
            </w:pPr>
            <w:r>
              <w:rPr>
                <w:b/>
                <w:color w:val="D71920"/>
                <w:sz w:val="19"/>
              </w:rPr>
              <w:t>SERVICE</w:t>
            </w:r>
          </w:p>
        </w:tc>
        <w:tc>
          <w:tcPr>
            <w:tcW w:type="dxa" w:w="3312"/>
            <w:shd w:fill="F3F4F6"/>
            <w:tcBorders>
              <w:left w:val="single" w:sz="6" w:color="E5E7EB"/>
              <w:top w:val="single" w:sz="8" w:color="D71920"/>
              <w:right w:val="single" w:sz="6" w:color="E5E7EB"/>
              <w:bottom w:val="single" w:sz="6" w:color="E5E7EB"/>
            </w:tcBorders>
          </w:tcPr>
          <w:p>
            <w:pPr>
              <w:jc w:val="center"/>
            </w:pPr>
            <w:r>
              <w:rPr>
                <w:b/>
                <w:color w:val="D71920"/>
                <w:sz w:val="19"/>
              </w:rPr>
              <w:t>INDUSTRIE</w:t>
            </w:r>
          </w:p>
        </w:tc>
      </w:tr>
      <w:tr>
        <w:tc>
          <w:tcPr>
            <w:tcW w:type="dxa" w:w="3312"/>
            <w:tcBorders>
              <w:left w:val="single" w:sz="6" w:color="E5E7EB"/>
              <w:right w:val="single" w:sz="6" w:color="E5E7EB"/>
              <w:bottom w:val="single" w:sz="6" w:color="E5E7EB"/>
            </w:tcBorders>
          </w:tcPr>
          <w:p>
            <w:pPr>
              <w:jc w:val="center"/>
            </w:pPr>
            <w:r>
              <w:rPr>
                <w:b/>
                <w:color w:val="1F2937"/>
                <w:sz w:val="22"/>
              </w:rPr>
              <w:t>Électricité MegaWatt</w:t>
            </w:r>
          </w:p>
        </w:tc>
        <w:tc>
          <w:tcPr>
            <w:tcW w:type="dxa" w:w="3312"/>
            <w:tcBorders>
              <w:left w:val="single" w:sz="6" w:color="E5E7EB"/>
              <w:right w:val="single" w:sz="6" w:color="E5E7EB"/>
              <w:bottom w:val="single" w:sz="6" w:color="E5E7EB"/>
            </w:tcBorders>
          </w:tcPr>
          <w:p>
            <w:pPr>
              <w:jc w:val="center"/>
            </w:pPr>
            <w:r>
              <w:rPr>
                <w:b/>
                <w:color w:val="1F2937"/>
                <w:sz w:val="22"/>
              </w:rPr>
              <w:t>IA appliquée &amp; automatisation</w:t>
            </w:r>
          </w:p>
        </w:tc>
        <w:tc>
          <w:tcPr>
            <w:tcW w:type="dxa" w:w="3312"/>
            <w:tcBorders>
              <w:left w:val="single" w:sz="6" w:color="E5E7EB"/>
              <w:right w:val="single" w:sz="6" w:color="E5E7EB"/>
              <w:bottom w:val="single" w:sz="6" w:color="E5E7EB"/>
            </w:tcBorders>
          </w:tcPr>
          <w:p>
            <w:pPr>
              <w:jc w:val="center"/>
            </w:pPr>
            <w:r>
              <w:rPr>
                <w:b/>
                <w:color w:val="1F2937"/>
                <w:sz w:val="22"/>
              </w:rPr>
              <w:t>Entrepreneurs en électricité</w:t>
            </w:r>
          </w:p>
        </w:tc>
      </w:tr>
    </w:tbl>
    <w:p/>
    <w:p>
      <w:r>
        <w:br w:type="page"/>
      </w:r>
    </w:p>
    <w:p>
      <w:pPr>
        <w:spacing w:after="80"/>
      </w:pPr>
      <w:r>
        <w:rPr>
          <w:b/>
          <w:color w:val="111827"/>
          <w:sz w:val="30"/>
        </w:rPr>
        <w:t>EXECUTIVE SNAPSHOT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68"/>
        <w:gridCol w:w="4968"/>
      </w:tblGrid>
      <w:tr>
        <w:tc>
          <w:tcPr>
            <w:tcW w:type="dxa" w:w="6912"/>
            <w:vAlign w:val="top"/>
          </w:tcPr>
          <w:p>
            <w:pPr>
              <w:spacing w:after="120"/>
            </w:pPr>
            <w:r>
              <w:rPr>
                <w:color w:val="1F2937"/>
                <w:sz w:val="22"/>
              </w:rPr>
              <w:t>Dans un contexte de croissance rapide, MegaWatt devait filtrer et prioriser un volume élevé d’appels d’offres provenant de plusieurs sources. Le processus manuel mobilisait trop d’heures, introduisait de la subjectivité et limitait la capacité de l’entreprise à concentrer ses équipes sur les opportunités à plus fort potentiel.</w:t>
            </w:r>
          </w:p>
          <w:p>
            <w:pPr>
              <w:spacing w:after="120"/>
            </w:pPr>
            <w:r>
              <w:rPr>
                <w:color w:val="1F2937"/>
                <w:sz w:val="22"/>
              </w:rPr>
              <w:t>OPUS a conçu une solution d’intelligence artificielle capable d’automatiser la recherche, l’analyse et la priorisation des appels d’offres selon leur probabilité de succès, tout en rendant les critères de décision plus lisibles et plus reproductibles.</w:t>
            </w:r>
          </w:p>
        </w:tc>
        <w:tc>
          <w:tcPr>
            <w:tcW w:type="dxa" w:w="3168"/>
            <w:vAlign w:val="top"/>
            <w:shd w:fill="F3F4F6"/>
            <w:tcBorders>
              <w:left w:val="single" w:sz="6" w:color="E5E7EB"/>
              <w:top w:val="single" w:sz="8" w:color="D71920"/>
              <w:right w:val="single" w:sz="6" w:color="E5E7EB"/>
              <w:bottom w:val="single" w:sz="6" w:color="E5E7EB"/>
            </w:tcBorders>
          </w:tcPr>
          <w:p>
            <w:pPr>
              <w:spacing w:after="120"/>
              <w:jc w:val="center"/>
            </w:pPr>
            <w:r>
              <w:drawing>
                <wp:inline xmlns:a="http://schemas.openxmlformats.org/drawingml/2006/main" xmlns:pic="http://schemas.openxmlformats.org/drawingml/2006/picture">
                  <wp:extent cx="1920240" cy="1279847"/>
                  <wp:docPr id="2" name="Picture 2"/>
                  <wp:cNvGraphicFramePr>
                    <a:graphicFrameLocks noChangeAspect="1"/>
                  </wp:cNvGraphicFramePr>
                  <a:graphic>
                    <a:graphicData uri="http://schemas.openxmlformats.org/drawingml/2006/picture">
                      <pic:pic>
                        <pic:nvPicPr>
                          <pic:cNvPr id="0" name="opus-hero-cgi-hq.png"/>
                          <pic:cNvPicPr/>
                        </pic:nvPicPr>
                        <pic:blipFill>
                          <a:blip r:embed="rId12"/>
                          <a:stretch>
                            <a:fillRect/>
                          </a:stretch>
                        </pic:blipFill>
                        <pic:spPr>
                          <a:xfrm>
                            <a:off x="0" y="0"/>
                            <a:ext cx="1920240" cy="1279847"/>
                          </a:xfrm>
                          <a:prstGeom prst="rect"/>
                        </pic:spPr>
                      </pic:pic>
                    </a:graphicData>
                  </a:graphic>
                </wp:inline>
              </w:drawing>
            </w:r>
            <w:r>
              <w:rPr>
                <w:b/>
                <w:color w:val="111827"/>
                <w:sz w:val="23"/>
              </w:rPr>
              <w:t>Key Takeaways</w:t>
            </w:r>
          </w:p>
          <w:p>
            <w:r>
              <w:rPr>
                <w:color w:val="1F2937"/>
                <w:sz w:val="20"/>
              </w:rPr>
              <w:t>• 12 h de recherche économisées par semaine</w:t>
            </w:r>
          </w:p>
          <w:p>
            <w:r>
              <w:rPr>
                <w:color w:val="1F2937"/>
                <w:sz w:val="20"/>
              </w:rPr>
              <w:t>• +30 % d’appels d’offres déposés</w:t>
            </w:r>
          </w:p>
          <w:p>
            <w:r>
              <w:rPr>
                <w:color w:val="1F2937"/>
                <w:sz w:val="20"/>
              </w:rPr>
              <w:t>• ≈ 50 k$ d’économies annuelles</w:t>
            </w:r>
          </w:p>
          <w:p>
            <w:r>
              <w:rPr>
                <w:color w:val="1F2937"/>
                <w:sz w:val="20"/>
              </w:rPr>
              <w:t>• &gt; 1 M$ de contrats gagnés par an</w:t>
            </w:r>
          </w:p>
        </w:tc>
      </w:tr>
    </w:tbl>
    <w:p>
      <w:pPr>
        <w:spacing w:before="160" w:after="80"/>
      </w:pPr>
      <w:r>
        <w:rPr>
          <w:b/>
          <w:color w:val="111827"/>
          <w:sz w:val="28"/>
        </w:rPr>
        <w:t>Contexte et défi d’affaires</w:t>
      </w:r>
    </w:p>
    <w:p>
      <w:pPr>
        <w:spacing w:after="80"/>
      </w:pPr>
      <w:r>
        <w:rPr>
          <w:color w:val="1F2937"/>
          <w:sz w:val="21"/>
        </w:rPr>
        <w:t>L’entreprise devait composer avec un volume croissant d’opportunités hétérogènes, chacune comportant ses propres exigences, contraintes et critères d’admissibilité. Le tri manuel mobilisait des ressources qualifiées sur des tâches de faible valeur et réduisait la qualité du focus commercial.</w:t>
      </w:r>
    </w:p>
    <w:p>
      <w:pPr>
        <w:spacing w:after="80"/>
      </w:pPr>
      <w:r>
        <w:rPr>
          <w:color w:val="1F2937"/>
          <w:sz w:val="21"/>
        </w:rPr>
        <w:t>Le principal enjeu n’était pas seulement de gagner du temps : il fallait améliorer la qualité de sélection, réduire la variabilité dans l’évaluation et augmenter la capacité de l’organisation à déposer davantage de soumissions pertinentes.</w:t>
      </w:r>
    </w:p>
    <w:p>
      <w:pPr>
        <w:spacing w:before="160" w:after="80"/>
      </w:pPr>
      <w:r>
        <w:rPr>
          <w:b/>
          <w:color w:val="111827"/>
          <w:sz w:val="28"/>
        </w:rPr>
        <w:t>Réponse OPUS</w:t>
      </w:r>
    </w:p>
    <w:p>
      <w:pPr>
        <w:spacing w:after="80"/>
      </w:pPr>
      <w:r>
        <w:rPr>
          <w:color w:val="1F2937"/>
          <w:sz w:val="21"/>
        </w:rPr>
        <w:t>OPUS a développé un mécanisme de priorisation intelligent capable de parcourir plusieurs sources, d’évaluer chaque appel d’offres à partir de critères stratégiques et opérationnels, puis de produire une sélection ordonnée des opportunités les plus prometteuses.</w:t>
      </w:r>
    </w:p>
    <w:p>
      <w:pPr>
        <w:spacing w:after="80"/>
      </w:pPr>
      <w:r>
        <w:rPr>
          <w:color w:val="1F2937"/>
          <w:sz w:val="21"/>
        </w:rPr>
        <w:t>Une interface simple a été ajoutée pour rendre les recommandations compréhensibles par les équipes, expliciter les facteurs de priorisation et faciliter l’adoption. Une seconde phase a préparé l’adaptation semi-automatique des réponses selon les exigences particulières de chaque opportunité.</w:t>
      </w:r>
    </w:p>
    <w:p>
      <w:pPr>
        <w:spacing w:before="160" w:after="80"/>
      </w:pPr>
      <w:r>
        <w:rPr>
          <w:b/>
          <w:color w:val="111827"/>
          <w:sz w:val="28"/>
        </w:rPr>
        <w:t>Valeur créée</w:t>
      </w:r>
    </w:p>
    <w:p>
      <w:pPr>
        <w:spacing w:after="80"/>
      </w:pPr>
      <w:r>
        <w:rPr>
          <w:color w:val="1F2937"/>
          <w:sz w:val="21"/>
        </w:rPr>
        <w:t>Le projet a permis de transformer une activité de recherche manuelle dispersée en un processus plus structuré, plus cohérent et plus scalable.</w:t>
      </w:r>
    </w:p>
    <w:p>
      <w:pPr>
        <w:spacing w:after="80"/>
      </w:pPr>
      <w:r>
        <w:rPr>
          <w:color w:val="1F2937"/>
          <w:sz w:val="21"/>
        </w:rPr>
        <w:t>Au-delà du gain de temps, MegaWatt a récupéré de la capacité commerciale, augmenté le volume de soumissions pertinentes et amélioré la qualité de l’allocation de ses ressources internes.</w:t>
      </w:r>
    </w:p>
    <w:p>
      <w:pPr>
        <w:spacing w:before="160" w:after="80"/>
      </w:pPr>
      <w:r>
        <w:rPr>
          <w:b/>
          <w:color w:val="111827"/>
          <w:sz w:val="28"/>
        </w:rPr>
        <w:t>RÉSULTATS MESURABLES</w:t>
      </w:r>
    </w:p>
    <w:tbl>
      <w:tblPr>
        <w:tblW w:type="auto" w:w="0"/>
        <w:jc w:val="center"/>
        <w:tblLayout w:type="fixed"/>
        <w:tblLook w:firstColumn="1" w:firstRow="1" w:lastColumn="0" w:lastRow="0" w:noHBand="0" w:noVBand="1" w:val="04A0"/>
      </w:tblPr>
      <w:tblGrid>
        <w:gridCol w:w="2160"/>
        <w:gridCol w:w="7488"/>
      </w:tblGrid>
      <w:tr>
        <w:tc>
          <w:tcPr>
            <w:tcW w:type="dxa" w:w="4968"/>
            <w:shd w:fill="1A1A1A"/>
            <w:tcBorders>
              <w:left w:val="single" w:sz="6" w:color="1A1A1A"/>
              <w:top w:val="single" w:sz="8" w:color="1A1A1A"/>
              <w:right w:val="single" w:sz="6" w:color="1A1A1A"/>
              <w:bottom w:val="single" w:sz="8" w:color="1A1A1A"/>
            </w:tcBorders>
          </w:tcPr>
          <w:p>
            <w:pPr>
              <w:jc w:val="center"/>
            </w:pPr>
            <w:r>
              <w:rPr>
                <w:b/>
                <w:color w:val="FFFFFF"/>
                <w:sz w:val="19"/>
              </w:rPr>
              <w:t>INDICATEUR</w:t>
            </w:r>
          </w:p>
        </w:tc>
        <w:tc>
          <w:tcPr>
            <w:tcW w:type="dxa" w:w="4968"/>
            <w:shd w:fill="1A1A1A"/>
            <w:tcBorders>
              <w:left w:val="single" w:sz="6" w:color="1A1A1A"/>
              <w:top w:val="single" w:sz="8" w:color="1A1A1A"/>
              <w:right w:val="single" w:sz="6" w:color="1A1A1A"/>
              <w:bottom w:val="single" w:sz="8" w:color="1A1A1A"/>
            </w:tcBorders>
          </w:tcPr>
          <w:p>
            <w:pPr>
              <w:jc w:val="center"/>
            </w:pPr>
            <w:r>
              <w:rPr>
                <w:b/>
                <w:color w:val="FFFFFF"/>
                <w:sz w:val="19"/>
              </w:rPr>
              <w:t>LECTURE D’AFFAIRES</w:t>
            </w:r>
          </w:p>
        </w:tc>
      </w:tr>
      <w:tr>
        <w:tc>
          <w:tcPr>
            <w:tcW w:type="dxa" w:w="2160"/>
            <w:tcBorders>
              <w:left w:val="single" w:sz="6" w:color="E5E7EB"/>
              <w:right w:val="single" w:sz="6" w:color="E5E7EB"/>
              <w:bottom w:val="single" w:sz="6" w:color="E5E7EB"/>
            </w:tcBorders>
          </w:tcPr>
          <w:p>
            <w:pPr>
              <w:jc w:val="center"/>
            </w:pPr>
            <w:r>
              <w:rPr>
                <w:b/>
                <w:color w:val="1F2937"/>
                <w:sz w:val="20"/>
              </w:rPr>
              <w:t>12 h / semaine</w:t>
            </w:r>
          </w:p>
        </w:tc>
        <w:tc>
          <w:tcPr>
            <w:tcW w:type="dxa" w:w="7488"/>
            <w:tcBorders>
              <w:left w:val="single" w:sz="6" w:color="E5E7EB"/>
              <w:right w:val="single" w:sz="6" w:color="E5E7EB"/>
              <w:bottom w:val="single" w:sz="6" w:color="E5E7EB"/>
            </w:tcBorders>
          </w:tcPr>
          <w:p>
            <w:pPr>
              <w:jc w:val="left"/>
            </w:pPr>
            <w:r>
              <w:rPr>
                <w:color w:val="1F2937"/>
                <w:sz w:val="20"/>
              </w:rPr>
              <w:t>Temps de recherche récupéré et réalloué à des tâches à plus forte valeur.</w:t>
            </w:r>
          </w:p>
        </w:tc>
      </w:tr>
      <w:tr>
        <w:tc>
          <w:tcPr>
            <w:tcW w:type="dxa" w:w="2160"/>
            <w:tcBorders>
              <w:left w:val="single" w:sz="6" w:color="E5E7EB"/>
              <w:right w:val="single" w:sz="6" w:color="E5E7EB"/>
              <w:bottom w:val="single" w:sz="6" w:color="E5E7EB"/>
            </w:tcBorders>
          </w:tcPr>
          <w:p>
            <w:pPr>
              <w:jc w:val="center"/>
            </w:pPr>
            <w:r>
              <w:rPr>
                <w:b/>
                <w:color w:val="1F2937"/>
                <w:sz w:val="20"/>
              </w:rPr>
              <w:t>+30 %</w:t>
            </w:r>
          </w:p>
        </w:tc>
        <w:tc>
          <w:tcPr>
            <w:tcW w:type="dxa" w:w="7488"/>
            <w:tcBorders>
              <w:left w:val="single" w:sz="6" w:color="E5E7EB"/>
              <w:right w:val="single" w:sz="6" w:color="E5E7EB"/>
              <w:bottom w:val="single" w:sz="6" w:color="E5E7EB"/>
            </w:tcBorders>
          </w:tcPr>
          <w:p>
            <w:pPr>
              <w:jc w:val="left"/>
            </w:pPr>
            <w:r>
              <w:rPr>
                <w:color w:val="1F2937"/>
                <w:sz w:val="20"/>
              </w:rPr>
              <w:t>Hausse du volume d’appels d’offres déposés, signe d’une meilleure capacité de traitement.</w:t>
            </w:r>
          </w:p>
        </w:tc>
      </w:tr>
      <w:tr>
        <w:tc>
          <w:tcPr>
            <w:tcW w:type="dxa" w:w="2160"/>
            <w:tcBorders>
              <w:left w:val="single" w:sz="6" w:color="E5E7EB"/>
              <w:right w:val="single" w:sz="6" w:color="E5E7EB"/>
              <w:bottom w:val="single" w:sz="6" w:color="E5E7EB"/>
            </w:tcBorders>
          </w:tcPr>
          <w:p>
            <w:pPr>
              <w:jc w:val="center"/>
            </w:pPr>
            <w:r>
              <w:rPr>
                <w:b/>
                <w:color w:val="1F2937"/>
                <w:sz w:val="20"/>
              </w:rPr>
              <w:t>≈ 50 k$</w:t>
            </w:r>
          </w:p>
        </w:tc>
        <w:tc>
          <w:tcPr>
            <w:tcW w:type="dxa" w:w="7488"/>
            <w:tcBorders>
              <w:left w:val="single" w:sz="6" w:color="E5E7EB"/>
              <w:right w:val="single" w:sz="6" w:color="E5E7EB"/>
              <w:bottom w:val="single" w:sz="6" w:color="E5E7EB"/>
            </w:tcBorders>
          </w:tcPr>
          <w:p>
            <w:pPr>
              <w:jc w:val="left"/>
            </w:pPr>
            <w:r>
              <w:rPr>
                <w:color w:val="1F2937"/>
                <w:sz w:val="20"/>
              </w:rPr>
              <w:t>Économies annuelles estimées liées à la réduction du temps non productif.</w:t>
            </w:r>
          </w:p>
        </w:tc>
      </w:tr>
      <w:tr>
        <w:tc>
          <w:tcPr>
            <w:tcW w:type="dxa" w:w="2160"/>
            <w:tcBorders>
              <w:left w:val="single" w:sz="6" w:color="E5E7EB"/>
              <w:right w:val="single" w:sz="6" w:color="E5E7EB"/>
              <w:bottom w:val="single" w:sz="6" w:color="E5E7EB"/>
            </w:tcBorders>
          </w:tcPr>
          <w:p>
            <w:pPr>
              <w:jc w:val="center"/>
            </w:pPr>
            <w:r>
              <w:rPr>
                <w:b/>
                <w:color w:val="1F2937"/>
                <w:sz w:val="20"/>
              </w:rPr>
              <w:t>&gt; 1 M$</w:t>
            </w:r>
          </w:p>
        </w:tc>
        <w:tc>
          <w:tcPr>
            <w:tcW w:type="dxa" w:w="7488"/>
            <w:tcBorders>
              <w:left w:val="single" w:sz="6" w:color="E5E7EB"/>
              <w:right w:val="single" w:sz="6" w:color="E5E7EB"/>
              <w:bottom w:val="single" w:sz="6" w:color="E5E7EB"/>
            </w:tcBorders>
          </w:tcPr>
          <w:p>
            <w:pPr>
              <w:jc w:val="left"/>
            </w:pPr>
            <w:r>
              <w:rPr>
                <w:color w:val="1F2937"/>
                <w:sz w:val="20"/>
              </w:rPr>
              <w:t>Contrats gagnés annuellement grâce à une sélection plus pertinente des opportunités.</w:t>
            </w:r>
          </w:p>
        </w:tc>
      </w:tr>
    </w:tbl>
    <w:p>
      <w:pPr>
        <w:spacing w:before="160" w:after="80"/>
      </w:pPr>
      <w:r>
        <w:rPr>
          <w:b/>
          <w:color w:val="111827"/>
          <w:sz w:val="28"/>
        </w:rPr>
        <w:t>CE QUE CE CAS DÉMONTRE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936"/>
      </w:tblGrid>
      <w:tr>
        <w:tc>
          <w:tcPr>
            <w:tcW w:type="dxa" w:w="9936"/>
            <w:shd w:fill="F3F4F6"/>
            <w:tcBorders>
              <w:left w:val="single" w:sz="6" w:color="E5E7EB"/>
              <w:top w:val="single" w:sz="8" w:color="D71920"/>
              <w:right w:val="single" w:sz="6" w:color="E5E7EB"/>
              <w:bottom w:val="single" w:sz="6" w:color="E5E7EB"/>
            </w:tcBorders>
          </w:tcPr>
          <w:p>
            <w:r>
              <w:rPr>
                <w:color w:val="1F2937"/>
                <w:sz w:val="20"/>
              </w:rPr>
              <w:t>• OPUS sait transformer un volume informationnel dispersé en capacité commerciale structurée.</w:t>
            </w:r>
          </w:p>
          <w:p>
            <w:r>
              <w:rPr>
                <w:color w:val="1F2937"/>
                <w:sz w:val="20"/>
              </w:rPr>
              <w:t>• L’IA est utilisée comme levier de décision opérable, et non comme vitrine technologique.</w:t>
            </w:r>
          </w:p>
          <w:p>
            <w:r>
              <w:rPr>
                <w:color w:val="1F2937"/>
                <w:sz w:val="20"/>
              </w:rPr>
              <w:t>• La valeur ne vient pas seulement de l’automatisation, mais de la lisibilité et de la reproductibilité du processus de priorisation.</w:t>
            </w:r>
          </w:p>
        </w:tc>
      </w:tr>
    </w:tbl>
    <w:sectPr w:rsidR="00FC693F" w:rsidRPr="0006063C" w:rsidSect="00034616">
      <w:footerReference w:type="default" r:id="rId9"/>
      <w:headerReference w:type="default" r:id="rId11"/>
      <w:pgSz w:w="12240" w:h="15840"/>
      <w:pgMar w:top="792" w:right="1152" w:bottom="79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OPUS / Phoenixx  •  </w:t>
    </w:r>
    <w:r>
      <w:rPr>
        <w:color w:val="6B7280"/>
        <w:sz w:val="17"/>
      </w:rPr>
      <w:fldChar w:fldCharType="begin"/>
      <w:instrText xml:space="preserve"> PAGE </w:instrText>
      <w:fldChar w:fldCharType="separate"/>
      <w:fldChar w:fldCharType="end"/>
    </w:r>
    <w:r>
      <w:rPr>
        <w:color w:val="6B7280"/>
        <w:sz w:val="17"/>
      </w:rPr>
      <w:t xml:space="preserve">OPUS / Phoenixx  •  </w:t>
    </w:r>
    <w:r>
      <w:rPr>
        <w:color w:val="6B7280"/>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968"/>
      <w:gridCol w:w="4968"/>
    </w:tblGrid>
    <w:tr>
      <w:tc>
        <w:tcPr>
          <w:tcW w:type="dxa" w:w="3312"/>
        </w:tcPr>
        <w:p>
          <w:r>
            <w:drawing>
              <wp:inline xmlns:a="http://schemas.openxmlformats.org/drawingml/2006/main" xmlns:pic="http://schemas.openxmlformats.org/drawingml/2006/picture">
                <wp:extent cx="1371600" cy="914400"/>
                <wp:docPr id="1" name="Picture 1"/>
                <wp:cNvGraphicFramePr>
                  <a:graphicFrameLocks noChangeAspect="1"/>
                </wp:cNvGraphicFramePr>
                <a:graphic>
                  <a:graphicData uri="http://schemas.openxmlformats.org/drawingml/2006/picture">
                    <pic:pic>
                      <pic:nvPicPr>
                        <pic:cNvPr id="0" name="WORDMARK B.png"/>
                        <pic:cNvPicPr/>
                      </pic:nvPicPr>
                      <pic:blipFill>
                        <a:blip r:embed="rId1"/>
                        <a:stretch>
                          <a:fillRect/>
                        </a:stretch>
                      </pic:blipFill>
                      <pic:spPr>
                        <a:xfrm>
                          <a:off x="0" y="0"/>
                          <a:ext cx="1371600" cy="914400"/>
                        </a:xfrm>
                        <a:prstGeom prst="rect"/>
                      </pic:spPr>
                    </pic:pic>
                  </a:graphicData>
                </a:graphic>
              </wp:inline>
            </w:drawing>
          </w:r>
        </w:p>
      </w:tc>
      <w:tc>
        <w:tcPr>
          <w:tcW w:type="dxa" w:w="6624"/>
        </w:tcPr>
        <w:p>
          <w:pPr>
            <w:jc w:val="right"/>
          </w:pPr>
          <w:r>
            <w:rPr>
              <w:b/>
              <w:color w:val="555555"/>
              <w:sz w:val="20"/>
            </w:rPr>
            <w:t>ÉTUDE DE CAS — MEGAWATT</w:t>
          </w:r>
        </w:p>
      </w:tc>
    </w:tr>
  </w:tbl>
  <w:p>
    <w:pPr>
      <w:spacing w:before="40"/>
      <w:pBdr>
        <w:bottom w:val="single" w:sz="6" w:color="D1D5DB"/>
      </w:pBdr>
    </w:pPr>
    <w:r>
      <w:rPr>
        <w:sz w:val="2"/>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