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E1E1E"/>
          <w:sz w:val="40"/>
        </w:rPr>
        <w:t>Architecture de la certitude.</w:t>
        <w:br/>
        <w:t>Exécution gouvernée.</w:t>
      </w:r>
    </w:p>
    <w:p>
      <w:pPr>
        <w:spacing w:after="200"/>
      </w:pPr>
      <w:r>
        <w:rPr>
          <w:b/>
        </w:rPr>
        <w:t xml:space="preserve">OPUS / Phoenixx — </w:t>
      </w:r>
      <w:r>
        <w:t>Partenaire de delivery TI &amp; d’intégration orienté résultats, avec discipline de preuve.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3"/>
        <w:gridCol w:w="5213"/>
      </w:tblGrid>
      <w:tr>
        <w:tc>
          <w:tcPr>
            <w:tcW w:type="dxa" w:w="3798"/>
            <w:vAlign w:val="top"/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98"/>
            </w:tblGrid>
            <w:tr>
              <w:tc>
                <w:tcPr>
                  <w:tcW w:type="dxa" w:w="3798"/>
                  <w:shd w:val="clear" w:color="auto" w:fill="F7F7F7"/>
                </w:tcPr>
                <w:p>
                  <w:r>
                    <w:rPr>
                      <w:b/>
                      <w:sz w:val="22"/>
                    </w:rPr>
                    <w:t>Ce que vous obtenez</w:t>
                  </w:r>
                </w:p>
                <w:p>
                  <w:pPr>
                    <w:pStyle w:val="ListBullet"/>
                  </w:pPr>
                  <w:r>
                    <w:t>Clarté : priorités, décisions explicites, responsabilités.</w:t>
                  </w:r>
                </w:p>
                <w:p>
                  <w:pPr>
                    <w:pStyle w:val="ListBullet"/>
                  </w:pPr>
                  <w:r>
                    <w:t>Maîtrise : quality gates, sécurité, contrôle des risques.</w:t>
                  </w:r>
                </w:p>
                <w:p>
                  <w:pPr>
                    <w:pStyle w:val="ListBullet"/>
                  </w:pPr>
                  <w:r>
                    <w:t>Résultats : exécution prévisible, réduction des exceptions.</w:t>
                  </w:r>
                </w:p>
                <w:p>
                  <w:pPr>
                    <w:pStyle w:val="ListBullet"/>
                  </w:pPr>
                  <w:r>
                    <w:t>Exploitation : runbook/rollback selon criticité, transfert.</w:t>
                  </w:r>
                </w:p>
              </w:tc>
            </w:tr>
          </w:tbl>
          <w:p/>
          <w:p>
            <w:pPr>
              <w:spacing w:before="160"/>
            </w:pPr>
            <w:r>
              <w:rPr>
                <w:b/>
              </w:rPr>
              <w:t>Quand OPUS est le bon choix</w:t>
            </w:r>
          </w:p>
          <w:p>
            <w:pPr>
              <w:pStyle w:val="ListBullet"/>
            </w:pPr>
            <w:r>
              <w:t>Transformation multi-plateformes difficile à tracer.</w:t>
            </w:r>
          </w:p>
          <w:p>
            <w:pPr>
              <w:pStyle w:val="ListBullet"/>
            </w:pPr>
            <w:r>
              <w:t>Contraintes fortes : audit, sécurité, continuité.</w:t>
            </w:r>
          </w:p>
          <w:p>
            <w:pPr>
              <w:pStyle w:val="ListBullet"/>
            </w:pPr>
            <w:r>
              <w:t>Besoin d’accélérer sans perdre le contrôle.</w:t>
            </w:r>
          </w:p>
          <w:p>
            <w:pPr>
              <w:pStyle w:val="ListBullet"/>
            </w:pPr>
            <w:r>
              <w:t>IA/automatisation à industrialiser au-delà du pilote.</w:t>
            </w:r>
          </w:p>
        </w:tc>
        <w:tc>
          <w:tcPr>
            <w:tcW w:type="dxa" w:w="5839"/>
            <w:vAlign w:val="top"/>
          </w:tcPr>
          <w:p>
            <w:r>
              <w:rPr>
                <w:b/>
                <w:sz w:val="22"/>
              </w:rPr>
              <w:t>Ce que vous achetez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19"/>
              <w:gridCol w:w="2919"/>
            </w:tblGrid>
            <w:tr>
              <w:tc>
                <w:tcPr>
                  <w:tcW w:type="dxa" w:w="2919"/>
                  <w:vAlign w:val="top"/>
                </w:tcPr>
                <w:p>
                  <w:r>
                    <w:rPr>
                      <w:b/>
                      <w:sz w:val="19"/>
                    </w:rPr>
                    <w:t>Proof Sprint (30j)</w:t>
                  </w:r>
                </w:p>
              </w:tc>
              <w:tc>
                <w:tcPr>
                  <w:tcW w:type="dxa" w:w="2919"/>
                  <w:vAlign w:val="top"/>
                </w:tcPr>
                <w:p>
                  <w:r>
                    <w:rPr>
                      <w:sz w:val="19"/>
                    </w:rPr>
                    <w:t>Périmètre fermé • métriques • Go/No-Go</w:t>
                  </w:r>
                </w:p>
              </w:tc>
            </w:tr>
            <w:tr>
              <w:tc>
                <w:tcPr>
                  <w:tcW w:type="dxa" w:w="2919"/>
                  <w:vAlign w:val="top"/>
                </w:tcPr>
                <w:p>
                  <w:r>
                    <w:rPr>
                      <w:b/>
                      <w:sz w:val="19"/>
                    </w:rPr>
                    <w:t>Execution Governance Diagnostic (10j)</w:t>
                  </w:r>
                </w:p>
              </w:tc>
              <w:tc>
                <w:tcPr>
                  <w:tcW w:type="dxa" w:w="2919"/>
                  <w:vAlign w:val="top"/>
                </w:tcPr>
                <w:p>
                  <w:r>
                    <w:rPr>
                      <w:sz w:val="19"/>
                    </w:rPr>
                    <w:t>RACI • risques • gates • trajectoire livrable</w:t>
                  </w:r>
                </w:p>
              </w:tc>
            </w:tr>
            <w:tr>
              <w:tc>
                <w:tcPr>
                  <w:tcW w:type="dxa" w:w="2919"/>
                  <w:vAlign w:val="top"/>
                </w:tcPr>
                <w:p>
                  <w:r>
                    <w:rPr>
                      <w:b/>
                      <w:sz w:val="19"/>
                    </w:rPr>
                    <w:t>Renfort expert (30–90j)</w:t>
                  </w:r>
                </w:p>
              </w:tc>
              <w:tc>
                <w:tcPr>
                  <w:tcW w:type="dxa" w:w="2919"/>
                  <w:vAlign w:val="top"/>
                </w:tcPr>
                <w:p>
                  <w:r>
                    <w:rPr>
                      <w:sz w:val="19"/>
                    </w:rPr>
                    <w:t>Traction rapide • handoff structuré</w:t>
                  </w:r>
                </w:p>
              </w:tc>
            </w:tr>
            <w:tr>
              <w:tc>
                <w:tcPr>
                  <w:tcW w:type="dxa" w:w="2919"/>
                  <w:vAlign w:val="top"/>
                </w:tcPr>
                <w:p>
                  <w:r>
                    <w:rPr>
                      <w:b/>
                      <w:sz w:val="19"/>
                    </w:rPr>
                    <w:t>Pod/Squad gouverné</w:t>
                  </w:r>
                </w:p>
              </w:tc>
              <w:tc>
                <w:tcPr>
                  <w:tcW w:type="dxa" w:w="2919"/>
                  <w:vAlign w:val="top"/>
                </w:tcPr>
                <w:p>
                  <w:r>
                    <w:rPr>
                      <w:sz w:val="19"/>
                    </w:rPr>
                    <w:t>Run minimum viable • acceptation par preuves</w:t>
                  </w:r>
                </w:p>
              </w:tc>
            </w:tr>
          </w:tbl>
          <w:p/>
          <w:p>
            <w:pPr>
              <w:spacing w:before="120"/>
            </w:pPr>
            <w:r>
              <w:rPr>
                <w:b/>
              </w:rPr>
              <w:t>Proof Engineering (différenciateur)</w:t>
            </w:r>
          </w:p>
          <w:p>
            <w:pPr>
              <w:pStyle w:val="ListBullet"/>
            </w:pPr>
            <w:r>
              <w:t>Quality Gates &amp; Stop Rules</w:t>
            </w:r>
          </w:p>
          <w:p>
            <w:pPr>
              <w:pStyle w:val="ListBullet"/>
            </w:pPr>
            <w:r>
              <w:t>Decision log • RACI • risques • critères d’acceptation</w:t>
            </w:r>
          </w:p>
          <w:p>
            <w:pPr>
              <w:pStyle w:val="ListBullet"/>
            </w:pPr>
            <w:r>
              <w:t>Tests utiles • runbook/rollback selon criticité • audit trail</w:t>
            </w:r>
          </w:p>
          <w:p>
            <w:pPr>
              <w:spacing w:before="120"/>
            </w:pPr>
            <w:r>
              <w:rPr>
                <w:b/>
              </w:rPr>
              <w:t>Gouvernance IA (cadre proportionné)</w:t>
            </w:r>
          </w:p>
          <w:p>
            <w:pPr>
              <w:pStyle w:val="ListBullet"/>
            </w:pPr>
            <w:r>
              <w:t>Contrôle humain sur les cas sensibles • versionnement des règles/policies • mécanismes de repli • seuils d’arrêt.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839"/>
            </w:tblGrid>
            <w:tr>
              <w:tc>
                <w:tcPr>
                  <w:tcW w:type="dxa" w:w="5839"/>
                  <w:shd w:val="clear" w:color="auto" w:fill="1F1F1F"/>
                </w:tcPr>
                <w:p>
                  <w:pPr>
                    <w:jc w:val="left"/>
                  </w:pPr>
                  <w:r>
                    <w:rPr>
                      <w:b/>
                      <w:color w:val="FFFFFF"/>
                      <w:sz w:val="24"/>
                    </w:rPr>
                    <w:t>Soumettre un besoin</w:t>
                  </w:r>
                </w:p>
                <w:p>
                  <w:r>
                    <w:rPr>
                      <w:color w:val="E6E6E6"/>
                      <w:sz w:val="19"/>
                    </w:rPr>
                    <w:t>Nous cadrons le mode d’intervention selon la criticité, le risque et la trajectoire production.</w:t>
                  </w:r>
                </w:p>
              </w:tc>
            </w:tr>
          </w:tbl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jc w:val="left"/>
          </w:pPr>
          <w:r>
            <w:rPr>
              <w:color w:val="787878"/>
              <w:sz w:val="17"/>
            </w:rPr>
            <w:t>OPUS / Phoenixx</w:t>
          </w:r>
        </w:p>
      </w:tc>
      <w:tc>
        <w:tcPr>
          <w:tcW w:type="dxa" w:w="3213"/>
          <w:vAlign w:val="center"/>
        </w:tcPr>
        <w:p>
          <w:pPr>
            <w:jc w:val="center"/>
          </w:pPr>
          <w:r>
            <w:rPr>
              <w:color w:val="787878"/>
              <w:sz w:val="17"/>
            </w:rPr>
            <w:t>+1 418 717 9653  •  +216 98 519 889</w:t>
          </w:r>
        </w:p>
      </w:tc>
      <w:tc>
        <w:tcPr>
          <w:tcW w:type="dxa" w:w="3213"/>
          <w:vAlign w:val="center"/>
        </w:tcPr>
        <w:p>
          <w:pPr>
            <w:jc w:val="right"/>
          </w:pPr>
          <w:r>
            <w:rPr>
              <w:color w:val="787878"/>
              <w:sz w:val="17"/>
            </w:rPr>
            <w:t>opus-tek.com  •  phoenixx.ca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c>
        <w:tcPr>
          <w:tcW w:type="dxa" w:w="4819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0000" cy="25797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rop_WORDMARK_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25797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</w:tcPr>
        <w:p>
          <w:pPr>
            <w:jc w:val="right"/>
          </w:pPr>
          <w:r>
            <w:rPr>
              <w:b/>
              <w:color w:val="646464"/>
              <w:sz w:val="18"/>
            </w:rPr>
            <w:t>EXECUTIVE ONE-PAGER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