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320000" cy="6127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p_DESCRIPTOR_1_LINE_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61272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1E1E1E"/>
          <w:sz w:val="48"/>
        </w:rPr>
        <w:t>Strategic Capability Pack</w:t>
      </w:r>
    </w:p>
    <w:p>
      <w:pPr>
        <w:jc w:val="center"/>
      </w:pPr>
      <w:r>
        <w:rPr>
          <w:b/>
          <w:color w:val="A07828"/>
          <w:sz w:val="25"/>
        </w:rPr>
        <w:t>Architecture de la certitude. Exécution gouvernée. Preuve défendable.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F3F3F3"/>
          </w:tcPr>
          <w:p>
            <w:pPr>
              <w:spacing w:before="120" w:after="120"/>
              <w:ind w:left="170" w:right="170"/>
            </w:pPr>
            <w:r>
              <w:rPr>
                <w:color w:val="464646"/>
                <w:sz w:val="21"/>
              </w:rPr>
              <w:t>OPUS / Phoenixx</w:t>
            </w:r>
          </w:p>
        </w:tc>
      </w:tr>
      <w:tr>
        <w:tc>
          <w:tcPr>
            <w:tcW w:type="dxa" w:w="10200"/>
            <w:shd w:val="clear" w:color="auto" w:fill="F3F3F3"/>
          </w:tcPr>
          <w:p>
            <w:pPr>
              <w:spacing w:before="120" w:after="120"/>
              <w:ind w:left="170" w:right="170"/>
            </w:pPr>
            <w:r>
              <w:rPr>
                <w:color w:val="464646"/>
                <w:sz w:val="21"/>
              </w:rPr>
              <w:t>Document de direction — version client</w:t>
            </w:r>
          </w:p>
        </w:tc>
      </w:tr>
      <w:tr>
        <w:tc>
          <w:tcPr>
            <w:tcW w:type="dxa" w:w="10200"/>
            <w:shd w:val="clear" w:color="auto" w:fill="F3F3F3"/>
          </w:tcPr>
          <w:p>
            <w:pPr>
              <w:spacing w:before="120" w:after="120"/>
              <w:ind w:left="170" w:right="170"/>
            </w:pPr>
            <w:r>
              <w:rPr>
                <w:color w:val="464646"/>
                <w:sz w:val="21"/>
              </w:rPr>
              <w:t>Date : 2026-03-11</w:t>
            </w:r>
          </w:p>
        </w:tc>
      </w:tr>
    </w:tbl>
    <w:p>
      <w:r>
        <w:br w:type="page"/>
      </w:r>
    </w:p>
    <w:p>
      <w:pPr>
        <w:sectPr>
          <w:pgSz w:w="12240" w:h="15840"/>
          <w:pgMar w:top="964" w:right="1020" w:bottom="964" w:left="1020" w:header="720" w:footer="720" w:gutter="0"/>
          <w:cols w:space="720"/>
          <w:docGrid w:linePitch="360"/>
        </w:sectPr>
      </w:pPr>
    </w:p>
    <w:p>
      <w:pPr>
        <w:pStyle w:val="Heading1"/>
      </w:pPr>
      <w:r>
        <w:t>EXECUTIVE SNAPSHOT</w:t>
      </w:r>
    </w:p>
    <w:p>
      <w:pPr>
        <w:spacing w:after="160"/>
      </w:pPr>
      <w:r>
        <w:rPr>
          <w:b/>
        </w:rPr>
        <w:t xml:space="preserve">En 10 secondes — </w:t>
      </w:r>
      <w:r>
        <w:t>ce document cadre ce qu’OPUS vend, comment OPUS opère et pourquoi la proposition est achetable pour un décideur exigeant.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1F1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Risque ↓</w:t>
            </w:r>
          </w:p>
        </w:tc>
        <w:tc>
          <w:tcPr>
            <w:tcW w:type="dxa" w:w="3400"/>
            <w:shd w:val="clear" w:color="auto" w:fill="1F1F1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Cycle time ↓</w:t>
            </w:r>
          </w:p>
        </w:tc>
        <w:tc>
          <w:tcPr>
            <w:tcW w:type="dxa" w:w="3400"/>
            <w:shd w:val="clear" w:color="auto" w:fill="1F1F1F"/>
            <w:vAlign w:val="center"/>
          </w:tcPr>
          <w:p>
            <w:pPr>
              <w:jc w:val="left"/>
            </w:pPr>
            <w:r>
              <w:rPr>
                <w:b/>
                <w:color w:val="FFFFFF"/>
                <w:sz w:val="22"/>
              </w:rPr>
              <w:t>Preuve ↑</w:t>
            </w:r>
          </w:p>
        </w:tc>
      </w:tr>
      <w:tr>
        <w:tc>
          <w:tcPr>
            <w:tcW w:type="dxa" w:w="3400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3C3C3C"/>
                <w:sz w:val="20"/>
              </w:rPr>
              <w:t>réduction de la dérive</w:t>
              <w:br/>
            </w:r>
            <w:r>
              <w:rPr>
                <w:b/>
                <w:color w:val="A07828"/>
                <w:sz w:val="18"/>
              </w:rPr>
              <w:t>Documented</w:t>
            </w:r>
          </w:p>
        </w:tc>
        <w:tc>
          <w:tcPr>
            <w:tcW w:type="dxa" w:w="3400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3C3C3C"/>
                <w:sz w:val="20"/>
              </w:rPr>
              <w:t>accélération disciplinée</w:t>
              <w:br/>
            </w:r>
            <w:r>
              <w:rPr>
                <w:b/>
                <w:color w:val="A07828"/>
                <w:sz w:val="18"/>
              </w:rPr>
              <w:t>Documented</w:t>
            </w:r>
          </w:p>
        </w:tc>
        <w:tc>
          <w:tcPr>
            <w:tcW w:type="dxa" w:w="3400"/>
            <w:vAlign w:val="center"/>
          </w:tcPr>
          <w:p>
            <w:pPr>
              <w:spacing w:before="80" w:after="80"/>
              <w:jc w:val="left"/>
            </w:pPr>
            <w:r>
              <w:rPr>
                <w:b/>
                <w:color w:val="3C3C3C"/>
                <w:sz w:val="20"/>
              </w:rPr>
              <w:t>audit trail exploitable</w:t>
              <w:br/>
            </w:r>
            <w:r>
              <w:rPr>
                <w:b/>
                <w:color w:val="A07828"/>
                <w:sz w:val="18"/>
              </w:rPr>
              <w:t>Verified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top"/>
          </w:tcPr>
          <w:p>
            <w:r>
              <w:rPr>
                <w:b/>
              </w:rPr>
              <w:t>Ce qu’un décideur achète</w:t>
            </w:r>
          </w:p>
          <w:p>
            <w:pPr>
              <w:pStyle w:val="ListBullet"/>
            </w:pPr>
            <w:r>
              <w:t>Une capacité à cadrer, structurer et livrer sans multiplier les zones grises.</w:t>
            </w:r>
          </w:p>
          <w:p>
            <w:pPr>
              <w:pStyle w:val="ListBullet"/>
            </w:pPr>
            <w:r>
              <w:t>Une gouvernance visible : responsabilités, points de contrôle et acceptation par preuves.</w:t>
            </w:r>
          </w:p>
          <w:p>
            <w:pPr>
              <w:pStyle w:val="ListBullet"/>
            </w:pPr>
            <w:r>
              <w:t>Un modèle opératoire capable de transformer un signal critique en action exécutable.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  <w:t>Architecture de responsabilité</w:t>
            </w:r>
          </w:p>
          <w:p>
            <w:pPr>
              <w:pStyle w:val="ListBullet"/>
            </w:pPr>
            <w:r>
              <w:t>Phoenixx porte la relation contractuelle, la gouvernance de proximité et l’escalade exécutive.</w:t>
            </w:r>
          </w:p>
          <w:p>
            <w:pPr>
              <w:pStyle w:val="ListBullet"/>
            </w:pPr>
            <w:r>
              <w:t>OPUS porte l’architecture d’exécution, le delivery spécialisé et les mécanismes de preuve.</w:t>
            </w:r>
          </w:p>
          <w:p>
            <w:pPr>
              <w:pStyle w:val="ListBullet"/>
            </w:pPr>
            <w:r>
              <w:t>Gouvernance conjointe : pilotage léger mais structuré (hebdo), arbitrage des risques, Go/No-Go, acceptation par preuves.</w:t>
            </w:r>
          </w:p>
        </w:tc>
      </w:tr>
    </w:tbl>
    <w:p/>
    <w:p>
      <w:r>
        <w:br w:type="page"/>
      </w:r>
    </w:p>
    <w:p>
      <w:pPr>
        <w:pStyle w:val="Heading1"/>
      </w:pPr>
      <w:r>
        <w:t>FORMATS D’INTERVENTION</w:t>
      </w:r>
    </w:p>
    <w:p>
      <w:r>
        <w:rPr>
          <w:b/>
        </w:rPr>
        <w:t xml:space="preserve">Les 4 formats d’engagement — </w:t>
      </w:r>
      <w:r>
        <w:t>des entrées commerciales claires, conçues pour éviter les mandats flous.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F3F3F3"/>
          </w:tcPr>
          <w:p>
            <w:r>
              <w:rPr>
                <w:b/>
              </w:rPr>
              <w:t>Format</w:t>
            </w:r>
          </w:p>
        </w:tc>
        <w:tc>
          <w:tcPr>
            <w:tcW w:type="dxa" w:w="2550"/>
            <w:shd w:val="clear" w:color="auto" w:fill="F3F3F3"/>
          </w:tcPr>
          <w:p>
            <w:r>
              <w:rPr>
                <w:b/>
              </w:rPr>
              <w:t>Objectif</w:t>
            </w:r>
          </w:p>
        </w:tc>
        <w:tc>
          <w:tcPr>
            <w:tcW w:type="dxa" w:w="2550"/>
            <w:shd w:val="clear" w:color="auto" w:fill="F3F3F3"/>
          </w:tcPr>
          <w:p>
            <w:r>
              <w:rPr>
                <w:b/>
              </w:rPr>
              <w:t>Livrables</w:t>
            </w:r>
          </w:p>
        </w:tc>
        <w:tc>
          <w:tcPr>
            <w:tcW w:type="dxa" w:w="2550"/>
            <w:shd w:val="clear" w:color="auto" w:fill="F3F3F3"/>
          </w:tcPr>
          <w:p>
            <w:r>
              <w:rPr>
                <w:b/>
              </w:rPr>
              <w:t>Pré-requis</w:t>
            </w:r>
          </w:p>
        </w:tc>
      </w:tr>
      <w:tr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Proof Sprint</w:t>
              <w:br/>
              <w:t>30 jours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Prouver rapidement une valeur mesurable sur un périmètre fermé, puis décider Go/No-Go.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Slice end-to-end • métriques avant/après • Proof Pack • plan Phase 2 ou arrêt propre.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Sponsor • accès • données minimales • périmètre fermé.</w:t>
            </w:r>
          </w:p>
        </w:tc>
      </w:tr>
      <w:tr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Execution Governance Diagnostic</w:t>
              <w:br/>
              <w:t>10 jours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Clarifier risques, dépendances et trajectoire livrable avant de lancer ou relancer un chantier.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RACI • decision log • risques • quality gates • backlog cadré • points de rollback.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Accès parties prenantes • backlog • contraintes du mandat.</w:t>
            </w:r>
          </w:p>
        </w:tc>
      </w:tr>
      <w:tr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Renfort expert</w:t>
              <w:br/>
              <w:t>30–90 jours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Renforcer une capacité critique sans désorganiser l’équipe client.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Objectifs hebdo • preuves d’avancement • documentation utile • handoff propre.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Périmètre clair • mode d’intégration défini.</w:t>
            </w:r>
          </w:p>
        </w:tc>
      </w:tr>
      <w:tr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Delivery gouverné</w:t>
              <w:br/>
              <w:t>Pod / Squad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Industrialiser un chantier prioritaire jusqu’au run minimum viable.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Intégrations maîtrisées • tests utiles • runbook/rollback • acceptation par preuves.</w:t>
            </w:r>
          </w:p>
        </w:tc>
        <w:tc>
          <w:tcPr>
            <w:tcW w:type="dxa" w:w="2550"/>
          </w:tcPr>
          <w:p>
            <w:pPr>
              <w:spacing w:before="80" w:after="80"/>
            </w:pPr>
            <w:r>
              <w:rPr>
                <w:color w:val="3C3C3C"/>
                <w:sz w:val="19"/>
              </w:rPr>
              <w:t>Cadence • accès • arbitrage métier/TI disponibles.</w:t>
            </w:r>
          </w:p>
        </w:tc>
      </w:tr>
    </w:tbl>
    <w:p/>
    <w:p>
      <w:r>
        <w:br w:type="page"/>
      </w:r>
    </w:p>
    <w:p>
      <w:pPr>
        <w:pStyle w:val="Heading1"/>
      </w:pPr>
      <w:r>
        <w:t>TERRITOIRE DE VALEUR</w:t>
      </w:r>
    </w:p>
    <w:p>
      <w:pPr>
        <w:pStyle w:val="Heading2"/>
      </w:pPr>
      <w:r>
        <w:t>Vision et ADN</w:t>
      </w:r>
    </w:p>
    <w:p>
      <w:r>
        <w:t>OPUS est un partenaire hybride de delivery gouverné. L’IA n’est jamais vendue comme une fin en soi. La technologie n’est jamais une vitrine : elle sert l’exécution gouvernée.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  <w:vAlign w:val="top"/>
          </w:tcPr>
          <w:p>
            <w:r>
              <w:rPr>
                <w:b/>
              </w:rPr>
              <w:t>Architecture</w:t>
            </w:r>
          </w:p>
          <w:p>
            <w:r>
              <w:t>Clarifier choix, dépendances et périmètre opérable.</w:t>
            </w:r>
          </w:p>
          <w:p>
            <w:pPr>
              <w:pStyle w:val="ListBullet"/>
            </w:pPr>
            <w:r>
              <w:t>Cadrage &amp; architecture de solution</w:t>
            </w:r>
          </w:p>
          <w:p>
            <w:pPr>
              <w:pStyle w:val="ListBullet"/>
            </w:pPr>
            <w:r>
              <w:t>Architecture d’intégration &amp; contrats d’interface</w:t>
            </w:r>
          </w:p>
          <w:p>
            <w:pPr>
              <w:pStyle w:val="ListBullet"/>
            </w:pPr>
            <w:r>
              <w:t>Décisions explicites &amp; trajectoire défendable</w:t>
            </w:r>
          </w:p>
        </w:tc>
        <w:tc>
          <w:tcPr>
            <w:tcW w:type="dxa" w:w="3400"/>
            <w:vAlign w:val="top"/>
          </w:tcPr>
          <w:p>
            <w:r>
              <w:rPr>
                <w:b/>
              </w:rPr>
              <w:t>Ingénierie</w:t>
            </w:r>
          </w:p>
          <w:p>
            <w:r>
              <w:t>Livrer avec logique de run, d’acceptation et de stabilisation.</w:t>
            </w:r>
          </w:p>
          <w:p>
            <w:pPr>
              <w:pStyle w:val="ListBullet"/>
            </w:pPr>
            <w:r>
              <w:t>Intégration de plateformes &amp; systèmes</w:t>
            </w:r>
          </w:p>
          <w:p>
            <w:pPr>
              <w:pStyle w:val="ListBullet"/>
            </w:pPr>
            <w:r>
              <w:t>Automatisation &amp; orchestration</w:t>
            </w:r>
          </w:p>
          <w:p>
            <w:pPr>
              <w:pStyle w:val="ListBullet"/>
            </w:pPr>
            <w:r>
              <w:t>Run minimum viable • rollback • handoff</w:t>
            </w:r>
          </w:p>
        </w:tc>
        <w:tc>
          <w:tcPr>
            <w:tcW w:type="dxa" w:w="3400"/>
            <w:vAlign w:val="top"/>
          </w:tcPr>
          <w:p>
            <w:r>
              <w:rPr>
                <w:b/>
              </w:rPr>
              <w:t>Intelligence</w:t>
            </w:r>
          </w:p>
          <w:p>
            <w:r>
              <w:t>Activer data/IA lorsqu’ils peuvent être cadrés, mesurés et gouvernés.</w:t>
            </w:r>
          </w:p>
          <w:p>
            <w:pPr>
              <w:pStyle w:val="ListBullet"/>
            </w:pPr>
            <w:r>
              <w:t>Scoring • classification • priorisation</w:t>
            </w:r>
          </w:p>
          <w:p>
            <w:pPr>
              <w:pStyle w:val="ListBullet"/>
            </w:pPr>
            <w:r>
              <w:t>Assistants métier &amp; RAG contrôlé</w:t>
            </w:r>
          </w:p>
          <w:p>
            <w:pPr>
              <w:pStyle w:val="ListBullet"/>
            </w:pPr>
            <w:r>
              <w:t>Validation humaine selon criticité</w:t>
            </w:r>
          </w:p>
        </w:tc>
      </w:tr>
    </w:tbl>
    <w:p/>
    <w:p>
      <w:pPr>
        <w:pStyle w:val="Heading1"/>
      </w:pPr>
      <w:r>
        <w:t>PROOF ENGINEERING</w:t>
      </w:r>
    </w:p>
    <w:p>
      <w:pPr>
        <w:pStyle w:val="Heading2"/>
      </w:pPr>
      <w:r>
        <w:t>Gouvernance de l’exécution</w:t>
      </w:r>
    </w:p>
    <w:p>
      <w:r>
        <w:t>La preuve est intégrée au récit d’exécution : décisions, risques, tests, quality gates, readiness production.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top"/>
          </w:tcPr>
          <w:p>
            <w:r>
              <w:rPr>
                <w:b/>
              </w:rPr>
              <w:t>Ce que nous installons</w:t>
            </w:r>
          </w:p>
          <w:p>
            <w:pPr>
              <w:pStyle w:val="ListBullet"/>
            </w:pPr>
            <w:r>
              <w:t>Patterns &amp; quality gates</w:t>
            </w:r>
          </w:p>
          <w:p>
            <w:pPr>
              <w:pStyle w:val="ListBullet"/>
            </w:pPr>
            <w:r>
              <w:t>Versioning • rollback • tests utiles</w:t>
            </w:r>
          </w:p>
          <w:p>
            <w:pPr>
              <w:pStyle w:val="ListBullet"/>
            </w:pPr>
            <w:r>
              <w:t>Stop Rules si le risque devient inacceptable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  <w:t>Ce que cela change</w:t>
            </w:r>
          </w:p>
          <w:p>
            <w:pPr>
              <w:pStyle w:val="ListBullet"/>
            </w:pPr>
            <w:r>
              <w:t>Responsabilités explicites</w:t>
            </w:r>
          </w:p>
          <w:p>
            <w:pPr>
              <w:pStyle w:val="ListBullet"/>
            </w:pPr>
            <w:r>
              <w:t>Acceptation lisible et arbitrable</w:t>
            </w:r>
          </w:p>
          <w:p>
            <w:pPr>
              <w:pStyle w:val="ListBullet"/>
            </w:pPr>
            <w:r>
              <w:t>Trajectoire de production défendable</w:t>
            </w:r>
          </w:p>
        </w:tc>
      </w:tr>
    </w:tbl>
    <w:p/>
    <w:p>
      <w:pPr>
        <w:pStyle w:val="Heading2"/>
      </w:pPr>
      <w:r>
        <w:t>Gouvernance IA : cadre proportionné</w:t>
      </w:r>
    </w:p>
    <w:p>
      <w:r>
        <w:t>Contrôle humain sur les cas sensibles, traçabilité des règles, audit trail, mécanismes de repli et seuils d’arrêt.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F3F3F3"/>
          </w:tcPr>
          <w:p>
            <w:r>
              <w:rPr>
                <w:b/>
              </w:rPr>
              <w:t>Classe A</w:t>
            </w:r>
          </w:p>
        </w:tc>
        <w:tc>
          <w:tcPr>
            <w:tcW w:type="dxa" w:w="3400"/>
            <w:shd w:val="clear" w:color="auto" w:fill="F3F3F3"/>
          </w:tcPr>
          <w:p>
            <w:r>
              <w:rPr>
                <w:b/>
              </w:rPr>
              <w:t>Classe B</w:t>
            </w:r>
          </w:p>
        </w:tc>
        <w:tc>
          <w:tcPr>
            <w:tcW w:type="dxa" w:w="3400"/>
            <w:shd w:val="clear" w:color="auto" w:fill="F3F3F3"/>
          </w:tcPr>
          <w:p>
            <w:r>
              <w:rPr>
                <w:b/>
              </w:rPr>
              <w:t>Classe C</w:t>
            </w:r>
          </w:p>
        </w:tc>
      </w:tr>
      <w:tr>
        <w:tc>
          <w:tcPr>
            <w:tcW w:type="dxa" w:w="3400"/>
          </w:tcPr>
          <w:p>
            <w:r>
              <w:rPr>
                <w:b/>
                <w:sz w:val="19"/>
              </w:rPr>
              <w:t>impact faible</w:t>
              <w:br/>
            </w:r>
            <w:r>
              <w:rPr>
                <w:sz w:val="19"/>
              </w:rPr>
              <w:t>contrôles légers</w:t>
              <w:br/>
              <w:t>validation échantillonnée</w:t>
            </w:r>
          </w:p>
        </w:tc>
        <w:tc>
          <w:tcPr>
            <w:tcW w:type="dxa" w:w="3400"/>
          </w:tcPr>
          <w:p>
            <w:r>
              <w:rPr>
                <w:b/>
                <w:sz w:val="19"/>
              </w:rPr>
              <w:t>impact moyen</w:t>
              <w:br/>
            </w:r>
            <w:r>
              <w:rPr>
                <w:sz w:val="19"/>
              </w:rPr>
              <w:t>contrôles renforcés</w:t>
              <w:br/>
              <w:t>validation avant extension</w:t>
            </w:r>
          </w:p>
        </w:tc>
        <w:tc>
          <w:tcPr>
            <w:tcW w:type="dxa" w:w="3400"/>
          </w:tcPr>
          <w:p>
            <w:r>
              <w:rPr>
                <w:b/>
                <w:sz w:val="19"/>
              </w:rPr>
              <w:t>impact critique</w:t>
              <w:br/>
            </w:r>
            <w:r>
              <w:rPr>
                <w:sz w:val="19"/>
              </w:rPr>
              <w:t>contrôles stricts</w:t>
              <w:br/>
              <w:t>human-in-the-loop obligatoire</w:t>
            </w:r>
          </w:p>
        </w:tc>
      </w:tr>
    </w:tbl>
    <w:p>
      <w:r>
        <w:t>Principes : least privilege • segmentation des accès • résidence des données définie contractuellement • journalisation.</w:t>
      </w:r>
    </w:p>
    <w:p/>
    <w:p>
      <w:pPr>
        <w:pStyle w:val="Heading1"/>
      </w:pPr>
      <w:r>
        <w:t>OPERATING MODEL</w:t>
      </w:r>
    </w:p>
    <w:p>
      <w:pPr>
        <w:pStyle w:val="Heading2"/>
      </w:pPr>
      <w:r>
        <w:t>Phoenixx × OPUS</w:t>
      </w:r>
    </w:p>
    <w:p>
      <w:r>
        <w:t>Proximité décisionnelle + capacité de delivery + discipline de gouvernance.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100"/>
        <w:gridCol w:w="5100"/>
      </w:tblGrid>
      <w:tr>
        <w:tc>
          <w:tcPr>
            <w:tcW w:type="dxa" w:w="5100"/>
            <w:vAlign w:val="top"/>
          </w:tcPr>
          <w:p>
            <w:r>
              <w:rPr>
                <w:b/>
              </w:rPr>
              <w:t>OPUS lead</w:t>
            </w:r>
          </w:p>
          <w:p>
            <w:pPr>
              <w:pStyle w:val="ListBullet"/>
            </w:pPr>
            <w:r>
              <w:t>Architecture d’exécution</w:t>
            </w:r>
          </w:p>
          <w:p>
            <w:pPr>
              <w:pStyle w:val="ListBullet"/>
            </w:pPr>
            <w:r>
              <w:t>Wedges &amp; mécanismes de preuve</w:t>
            </w:r>
          </w:p>
          <w:p>
            <w:pPr>
              <w:pStyle w:val="ListBullet"/>
            </w:pPr>
            <w:r>
              <w:t>Activation spécialisée sur chantiers critiques</w:t>
            </w:r>
          </w:p>
        </w:tc>
        <w:tc>
          <w:tcPr>
            <w:tcW w:type="dxa" w:w="5100"/>
            <w:vAlign w:val="top"/>
          </w:tcPr>
          <w:p>
            <w:r>
              <w:rPr>
                <w:b/>
              </w:rPr>
              <w:t>Phoenixx backing</w:t>
            </w:r>
          </w:p>
          <w:p>
            <w:pPr>
              <w:pStyle w:val="ListBullet"/>
            </w:pPr>
            <w:r>
              <w:t>Relation contractuelle (Canada)</w:t>
            </w:r>
          </w:p>
          <w:p>
            <w:pPr>
              <w:pStyle w:val="ListBullet"/>
            </w:pPr>
            <w:r>
              <w:t>Escalade exécutive</w:t>
            </w:r>
          </w:p>
          <w:p>
            <w:pPr>
              <w:pStyle w:val="ListBullet"/>
            </w:pPr>
            <w:r>
              <w:t>Bench public &amp; capacité d’extension</w:t>
            </w:r>
          </w:p>
        </w:tc>
      </w:tr>
    </w:tbl>
    <w:p>
      <w:r>
        <w:t>IP : livrables spécifiques au mandat = client (selon contrat). Accélérateurs/patterns génériques OPUS = réutilisables.</w:t>
      </w:r>
    </w:p>
    <w:p/>
    <w:p>
      <w:pPr>
        <w:pStyle w:val="Heading1"/>
      </w:pPr>
      <w:r>
        <w:t>CASE EVIDENCE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F7F7F7"/>
          </w:tcPr>
          <w:p>
            <w:r>
              <w:rPr>
                <w:b/>
              </w:rPr>
              <w:t>Plateforme de services &amp; intégration gouvernée</w:t>
            </w:r>
          </w:p>
          <w:p>
            <w:pPr>
              <w:pStyle w:val="ListBullet"/>
            </w:pPr>
            <w:r>
              <w:t>3–5 environnements • 4–8 systèmes • 3–6 équipes</w:t>
            </w:r>
          </w:p>
          <w:p>
            <w:pPr>
              <w:pStyle w:val="ListBullet"/>
            </w:pPr>
            <w:r>
              <w:t>Intervention : RACI • decision log • quality gates • contrats d’interface • runbook/rollback</w:t>
            </w:r>
          </w:p>
          <w:p>
            <w:pPr>
              <w:pStyle w:val="ListBullet"/>
            </w:pPr>
            <w:r>
              <w:t>Résultat : releases stabilisées, trajectoire défendable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F7F7F7"/>
          </w:tcPr>
          <w:p>
            <w:r>
              <w:rPr>
                <w:b/>
              </w:rPr>
              <w:t>Automatisation inter-systèmes &amp; gouvernance Microsoft</w:t>
            </w:r>
          </w:p>
          <w:p>
            <w:pPr>
              <w:pStyle w:val="ListBullet"/>
            </w:pPr>
            <w:r>
              <w:t>3–5 environnements • 4–7 systèmes</w:t>
            </w:r>
          </w:p>
          <w:p>
            <w:pPr>
              <w:pStyle w:val="ListBullet"/>
            </w:pPr>
            <w:r>
              <w:t>Intervention : cadrage • points de contrôle • critères de Done • documentation d’intégration</w:t>
            </w:r>
          </w:p>
          <w:p>
            <w:pPr>
              <w:pStyle w:val="ListBullet"/>
            </w:pPr>
            <w:r>
              <w:t>Résultat : audit trail exploitable, readiness production renforcée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200"/>
      </w:tblGrid>
      <w:tr>
        <w:tc>
          <w:tcPr>
            <w:tcW w:type="dxa" w:w="10200"/>
            <w:shd w:val="clear" w:color="auto" w:fill="F7F7F7"/>
          </w:tcPr>
          <w:p>
            <w:r>
              <w:rPr>
                <w:b/>
              </w:rPr>
              <w:t>Rescue / stabilisation — programme en dérive</w:t>
            </w:r>
          </w:p>
          <w:p>
            <w:pPr>
              <w:pStyle w:val="ListBullet"/>
            </w:pPr>
            <w:r>
              <w:t>Pression de go-live • backlog instable • décisions implicites</w:t>
            </w:r>
          </w:p>
          <w:p>
            <w:pPr>
              <w:pStyle w:val="ListBullet"/>
            </w:pPr>
            <w:r>
              <w:t>Intervention : re-cadrage • stop rules • plan d’acceptation par preuves</w:t>
            </w:r>
          </w:p>
          <w:p>
            <w:pPr>
              <w:pStyle w:val="ListBullet"/>
            </w:pPr>
            <w:r>
              <w:t>Résultat : exceptions réduites, lisibilité restaurée</w:t>
            </w:r>
          </w:p>
        </w:tc>
      </w:tr>
    </w:tbl>
    <w:p/>
    <w:p>
      <w:r>
        <w:br w:type="page"/>
      </w:r>
    </w:p>
    <w:p>
      <w:pPr>
        <w:pStyle w:val="Heading1"/>
      </w:pPr>
      <w:r>
        <w:t>DECISION CRITERIA</w:t>
      </w:r>
    </w:p>
    <w:p>
      <w:pPr>
        <w:pStyle w:val="Heading2"/>
      </w:pPr>
      <w:r>
        <w:t>Pourquoi choisir OPUS</w:t>
      </w:r>
    </w:p>
    <w:p>
      <w:pPr>
        <w:pStyle w:val="ListBullet"/>
      </w:pPr>
      <w:r>
        <w:t>Transformation multi-équipes ou multi-plateformes difficile à tracer.</w:t>
      </w:r>
    </w:p>
    <w:p>
      <w:pPr>
        <w:pStyle w:val="ListBullet"/>
      </w:pPr>
      <w:r>
        <w:t>Contraintes fortes : audit, sécurité, conformité, continuité.</w:t>
      </w:r>
    </w:p>
    <w:p>
      <w:pPr>
        <w:pStyle w:val="ListBullet"/>
      </w:pPr>
      <w:r>
        <w:t>Besoin d’accélérer sans dérive ni zones grises.</w:t>
      </w:r>
    </w:p>
    <w:p>
      <w:pPr>
        <w:pStyle w:val="ListBullet"/>
      </w:pPr>
      <w:r>
        <w:t>Objectif : système opérable et défendable.</w:t>
      </w:r>
    </w:p>
    <w:p/>
    <w:p>
      <w:pPr>
        <w:pStyle w:val="Heading2"/>
      </w:pPr>
      <w:r>
        <w:t>Next step</w:t>
      </w:r>
    </w:p>
    <w:p>
      <w:r>
        <w:t>Soumettre un besoin ou planifier un cadrage exécutif : Proof Sprint • Diagnostic • Renfort expert • Pod gouverné.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024"/>
      <w:gridCol w:w="3024"/>
      <w:gridCol w:w="3024"/>
    </w:tblGrid>
    <w:tr>
      <w:tc>
        <w:tcPr>
          <w:tcW w:type="dxa" w:w="3024"/>
          <w:vAlign w:val="center"/>
        </w:tcPr>
        <w:p>
          <w:pPr>
            <w:jc w:val="left"/>
          </w:pPr>
          <w:r>
            <w:rPr>
              <w:color w:val="787878"/>
              <w:sz w:val="17"/>
            </w:rPr>
            <w:t>OPUS / Phoenixx</w:t>
          </w:r>
        </w:p>
      </w:tc>
      <w:tc>
        <w:tcPr>
          <w:tcW w:type="dxa" w:w="3024"/>
          <w:vAlign w:val="center"/>
        </w:tcPr>
        <w:p>
          <w:pPr>
            <w:jc w:val="center"/>
          </w:pPr>
          <w:r>
            <w:rPr>
              <w:color w:val="787878"/>
              <w:sz w:val="17"/>
            </w:rPr>
            <w:t>opus-tek.com  •  phoenixx.ca</w:t>
          </w:r>
        </w:p>
      </w:tc>
      <w:tc>
        <w:tcPr>
          <w:tcW w:type="dxa" w:w="3024"/>
          <w:vAlign w:val="center"/>
        </w:tcPr>
        <w:p>
          <w:pPr>
            <w:jc w:val="right"/>
          </w:pPr>
          <w:r>
            <w:rPr>
              <w:color w:val="787878"/>
              <w:sz w:val="17"/>
            </w:rPr>
            <w:t xml:space="preserve">Page </w:t>
          </w:r>
          <w:fldSimple w:instr="PAGE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535"/>
      <w:gridCol w:w="4535"/>
    </w:tblGrid>
    <w:tr>
      <w:tc>
        <w:tcPr>
          <w:tcW w:type="dxa" w:w="4535"/>
          <w:vAlign w:val="center"/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1152000" cy="27517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crop_WORDMARK_W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52000" cy="27517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535"/>
          <w:vAlign w:val="center"/>
        </w:tcPr>
        <w:p>
          <w:pPr>
            <w:jc w:val="right"/>
          </w:pPr>
          <w:r>
            <w:rPr>
              <w:b/>
              <w:color w:val="646464"/>
              <w:sz w:val="18"/>
            </w:rPr>
            <w:t>STRATEGIC CAPABILITY PACK</w:t>
          </w:r>
        </w:p>
      </w:tc>
    </w:tr>
  </w:tbl>
  <w:p>
    <w:pPr>
      <w:pBdr>
        <w:bottom w:val="single" w:sz="6" w:space="1" w:color="D9D9D9"/>
      </w:pBdr>
      <w:spacing w:before="4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3232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3232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