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15" w:rsidRPr="00606615" w:rsidRDefault="00606615" w:rsidP="00606615">
      <w:pPr>
        <w:spacing w:line="300" w:lineRule="auto"/>
        <w:jc w:val="center"/>
        <w:rPr>
          <w:rStyle w:val="a4"/>
          <w:b/>
          <w:color w:val="auto"/>
          <w:sz w:val="26"/>
          <w:szCs w:val="26"/>
          <w:u w:val="none"/>
        </w:rPr>
      </w:pPr>
      <w:r w:rsidRPr="00606615">
        <w:rPr>
          <w:rStyle w:val="a4"/>
          <w:b/>
          <w:color w:val="auto"/>
          <w:sz w:val="26"/>
          <w:szCs w:val="26"/>
          <w:u w:val="none"/>
        </w:rPr>
        <w:t>СПИСОК ИСПОЛЬ</w:t>
      </w:r>
      <w:bookmarkStart w:id="0" w:name="_GoBack"/>
      <w:bookmarkEnd w:id="0"/>
      <w:r w:rsidRPr="00606615">
        <w:rPr>
          <w:rStyle w:val="a4"/>
          <w:b/>
          <w:color w:val="auto"/>
          <w:sz w:val="26"/>
          <w:szCs w:val="26"/>
          <w:u w:val="none"/>
        </w:rPr>
        <w:t>ЗОВАННОЙ ЛИТЕРАТУРЫ</w:t>
      </w:r>
    </w:p>
    <w:p w:rsidR="00606615" w:rsidRDefault="00606615" w:rsidP="00606615">
      <w:pPr>
        <w:spacing w:line="300" w:lineRule="auto"/>
        <w:jc w:val="center"/>
        <w:rPr>
          <w:rStyle w:val="a4"/>
          <w:sz w:val="26"/>
          <w:szCs w:val="26"/>
        </w:rPr>
      </w:pPr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  <w:rPr>
          <w:rStyle w:val="a4"/>
          <w:sz w:val="26"/>
          <w:szCs w:val="26"/>
        </w:rPr>
      </w:pPr>
      <w:hyperlink r:id="rId6" w:history="1">
        <w:r>
          <w:rPr>
            <w:rStyle w:val="a4"/>
            <w:sz w:val="26"/>
            <w:szCs w:val="26"/>
          </w:rPr>
          <w:t>http://ru.wikipedia.org</w:t>
        </w:r>
      </w:hyperlink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</w:pPr>
      <w:r>
        <w:rPr>
          <w:rStyle w:val="a4"/>
          <w:sz w:val="26"/>
          <w:szCs w:val="26"/>
          <w:lang w:val="en-US"/>
        </w:rPr>
        <w:t>http://www.rosbalt.ru</w:t>
      </w:r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  <w:rPr>
          <w:sz w:val="26"/>
          <w:szCs w:val="26"/>
        </w:rPr>
      </w:pPr>
      <w:hyperlink r:id="rId7" w:history="1">
        <w:r>
          <w:rPr>
            <w:rStyle w:val="a4"/>
            <w:sz w:val="26"/>
            <w:szCs w:val="26"/>
            <w:lang w:val="en-US"/>
          </w:rPr>
          <w:t>http</w:t>
        </w:r>
        <w:r>
          <w:rPr>
            <w:rStyle w:val="a4"/>
            <w:sz w:val="26"/>
            <w:szCs w:val="26"/>
          </w:rPr>
          <w:t>://</w:t>
        </w:r>
        <w:proofErr w:type="spellStart"/>
        <w:r>
          <w:rPr>
            <w:rStyle w:val="a4"/>
            <w:sz w:val="26"/>
            <w:szCs w:val="26"/>
            <w:lang w:val="en-US"/>
          </w:rPr>
          <w:t>msdn</w:t>
        </w:r>
        <w:proofErr w:type="spellEnd"/>
        <w:r>
          <w:rPr>
            <w:rStyle w:val="a4"/>
            <w:sz w:val="26"/>
            <w:szCs w:val="26"/>
          </w:rPr>
          <w:t>.</w:t>
        </w:r>
        <w:proofErr w:type="spellStart"/>
        <w:r>
          <w:rPr>
            <w:rStyle w:val="a4"/>
            <w:sz w:val="26"/>
            <w:szCs w:val="26"/>
            <w:lang w:val="en-US"/>
          </w:rPr>
          <w:t>microsoft</w:t>
        </w:r>
        <w:proofErr w:type="spellEnd"/>
        <w:r>
          <w:rPr>
            <w:rStyle w:val="a4"/>
            <w:sz w:val="26"/>
            <w:szCs w:val="26"/>
          </w:rPr>
          <w:t>.</w:t>
        </w:r>
        <w:r>
          <w:rPr>
            <w:rStyle w:val="a4"/>
            <w:sz w:val="26"/>
            <w:szCs w:val="26"/>
            <w:lang w:val="en-US"/>
          </w:rPr>
          <w:t>com</w:t>
        </w:r>
      </w:hyperlink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  <w:rPr>
          <w:sz w:val="26"/>
          <w:szCs w:val="26"/>
        </w:rPr>
      </w:pPr>
      <w:hyperlink r:id="rId8" w:history="1">
        <w:r>
          <w:rPr>
            <w:rStyle w:val="a4"/>
            <w:sz w:val="26"/>
            <w:szCs w:val="26"/>
          </w:rPr>
          <w:t>http://www.liveinternet.ru</w:t>
        </w:r>
      </w:hyperlink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  <w:rPr>
          <w:rStyle w:val="a4"/>
        </w:rPr>
      </w:pPr>
      <w:hyperlink r:id="rId9" w:history="1">
        <w:r>
          <w:rPr>
            <w:rStyle w:val="a4"/>
            <w:sz w:val="26"/>
            <w:szCs w:val="26"/>
          </w:rPr>
          <w:t>https://vk.com</w:t>
        </w:r>
      </w:hyperlink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</w:pPr>
      <w:hyperlink r:id="rId10" w:history="1">
        <w:r>
          <w:rPr>
            <w:rStyle w:val="a4"/>
            <w:sz w:val="26"/>
            <w:szCs w:val="26"/>
          </w:rPr>
          <w:t>http://www.psi.mchs.gov.ru</w:t>
        </w:r>
      </w:hyperlink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Адам Ф., Стивен С. </w:t>
      </w:r>
      <w:r>
        <w:rPr>
          <w:sz w:val="26"/>
          <w:szCs w:val="26"/>
          <w:lang w:val="en-US"/>
        </w:rPr>
        <w:t>ASP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60661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MVC</w:t>
      </w:r>
      <w:r>
        <w:rPr>
          <w:sz w:val="26"/>
          <w:szCs w:val="26"/>
        </w:rPr>
        <w:t xml:space="preserve"> 3 </w:t>
      </w:r>
      <w:r>
        <w:rPr>
          <w:sz w:val="26"/>
          <w:szCs w:val="26"/>
          <w:lang w:val="en-US"/>
        </w:rPr>
        <w:t>Framework</w:t>
      </w:r>
      <w:r>
        <w:rPr>
          <w:sz w:val="26"/>
          <w:szCs w:val="26"/>
        </w:rPr>
        <w:t xml:space="preserve"> с примерами на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# для профессионалов. - М.: Вильямс, 2012. – 622с.</w:t>
      </w:r>
    </w:p>
    <w:p w:rsidR="00606615" w:rsidRDefault="00606615" w:rsidP="00606615">
      <w:pPr>
        <w:pStyle w:val="a5"/>
        <w:numPr>
          <w:ilvl w:val="0"/>
          <w:numId w:val="2"/>
        </w:numPr>
        <w:spacing w:line="30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ГОСТ 19.701-90. Схемы алгоритмов, программ, данных и систем. Условные обозначения и правила выполнения. Для программной документации.</w:t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СНБ 4.02.01-03. Отопление, вентиляция и кондиционирование воздуха.</w:t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ТКП 45-2.04-153-2009. Естественное и искусственное освещение. – Мн.: </w:t>
      </w:r>
      <w:proofErr w:type="spellStart"/>
      <w:r>
        <w:rPr>
          <w:sz w:val="26"/>
          <w:szCs w:val="26"/>
        </w:rPr>
        <w:t>Минстройархитектуры</w:t>
      </w:r>
      <w:proofErr w:type="spellEnd"/>
      <w:r>
        <w:rPr>
          <w:sz w:val="26"/>
          <w:szCs w:val="26"/>
        </w:rPr>
        <w:t xml:space="preserve"> Республики Беларусь, 2010. – 104 с</w:t>
      </w:r>
      <w:proofErr w:type="gramStart"/>
      <w:r>
        <w:rPr>
          <w:sz w:val="26"/>
          <w:szCs w:val="26"/>
        </w:rPr>
        <w:t>..</w:t>
      </w:r>
      <w:proofErr w:type="gramEnd"/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Санитарные нормы и правила «Требования к электромагнитным излучениям радиочастотного диапазона при их воздействии на человека», Гигиенический норматив «Предельно допустимые уровни электромагнитных излучений радиочастотного диапазона при их </w:t>
      </w:r>
      <w:r>
        <w:rPr>
          <w:spacing w:val="4"/>
          <w:sz w:val="26"/>
          <w:szCs w:val="26"/>
        </w:rPr>
        <w:t>воздействии на человека»</w:t>
      </w:r>
      <w:r>
        <w:rPr>
          <w:sz w:val="26"/>
          <w:szCs w:val="26"/>
        </w:rPr>
        <w:t xml:space="preserve"> утв. постановлением Министерства Здравоохранения Республики Беларусь от 5.03.2015г. №23</w:t>
      </w:r>
      <w:r>
        <w:rPr>
          <w:sz w:val="26"/>
          <w:szCs w:val="26"/>
        </w:rPr>
        <w:tab/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ТКП 181—2009 «Правила технической эксплуатации электроустановок потребителей».</w:t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ГОСТ 12.1.030-81. ССБТ. Электробезопасность. Защитное заземление, </w:t>
      </w:r>
      <w:proofErr w:type="spellStart"/>
      <w:r>
        <w:rPr>
          <w:sz w:val="26"/>
          <w:szCs w:val="26"/>
        </w:rPr>
        <w:t>зануление</w:t>
      </w:r>
      <w:proofErr w:type="spellEnd"/>
      <w:r>
        <w:rPr>
          <w:sz w:val="26"/>
          <w:szCs w:val="26"/>
        </w:rPr>
        <w:t>.</w:t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ТКП 474-2013. Категорирование помещений, зданий и наружных установок по взрывопожарной и пожарной опасности, утв. постановлением МЧС Республики Беларусь 29.01.2013 г. № 4.</w:t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ТКП 45-2.02-142-2011. Здания, строительные конструкции, материалы и изделия. Правила пожарно-технической классификации.</w:t>
      </w:r>
    </w:p>
    <w:p w:rsidR="00606615" w:rsidRDefault="00606615" w:rsidP="00606615">
      <w:pPr>
        <w:pStyle w:val="a"/>
        <w:numPr>
          <w:ilvl w:val="0"/>
          <w:numId w:val="2"/>
        </w:numPr>
        <w:spacing w:line="30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ТКП 45-3.02-90-2008. Производственные здания. Строительные нормы проектирования.</w:t>
      </w:r>
    </w:p>
    <w:p w:rsidR="00824A87" w:rsidRDefault="00824A87"/>
    <w:sectPr w:rsidR="0082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D6B49"/>
    <w:multiLevelType w:val="hybridMultilevel"/>
    <w:tmpl w:val="5A029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CA"/>
    <w:rsid w:val="00552BCA"/>
    <w:rsid w:val="00606615"/>
    <w:rsid w:val="008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606615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606615"/>
    <w:pPr>
      <w:ind w:left="720"/>
      <w:contextualSpacing/>
    </w:pPr>
  </w:style>
  <w:style w:type="paragraph" w:customStyle="1" w:styleId="a">
    <w:name w:val="Список_литературы"/>
    <w:basedOn w:val="a0"/>
    <w:rsid w:val="00606615"/>
    <w:pPr>
      <w:numPr>
        <w:numId w:val="1"/>
      </w:numPr>
      <w:tabs>
        <w:tab w:val="left" w:pos="567"/>
      </w:tabs>
      <w:snapToGrid w:val="0"/>
      <w:jc w:val="both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606615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606615"/>
    <w:pPr>
      <w:ind w:left="720"/>
      <w:contextualSpacing/>
    </w:pPr>
  </w:style>
  <w:style w:type="paragraph" w:customStyle="1" w:styleId="a">
    <w:name w:val="Список_литературы"/>
    <w:basedOn w:val="a0"/>
    <w:rsid w:val="00606615"/>
    <w:pPr>
      <w:numPr>
        <w:numId w:val="1"/>
      </w:numPr>
      <w:tabs>
        <w:tab w:val="left" w:pos="567"/>
      </w:tabs>
      <w:snapToGrid w:val="0"/>
      <w:jc w:val="both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veinternet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si.mchs.gov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2</cp:revision>
  <dcterms:created xsi:type="dcterms:W3CDTF">2015-06-16T18:19:00Z</dcterms:created>
  <dcterms:modified xsi:type="dcterms:W3CDTF">2015-06-16T18:19:00Z</dcterms:modified>
</cp:coreProperties>
</file>