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righ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-19685</wp:posOffset>
            </wp:positionH>
            <wp:positionV relativeFrom="paragraph">
              <wp:posOffset>-365760</wp:posOffset>
            </wp:positionV>
            <wp:extent cx="2099945" cy="207137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«Enterprise DWH» Project</w:t>
      </w:r>
    </w:p>
    <w:p>
      <w:pPr>
        <w:pStyle w:val="Normal"/>
        <w:bidi w:val="0"/>
        <w:jc w:val="right"/>
        <w:rPr/>
      </w:pPr>
      <w:r>
        <w:rPr/>
        <w:t>Test Result Report</w:t>
      </w:r>
    </w:p>
    <w:p>
      <w:pPr>
        <w:pStyle w:val="Normal"/>
        <w:bidi w:val="0"/>
        <w:jc w:val="right"/>
        <w:rPr/>
      </w:pPr>
      <w:r>
        <w:rPr/>
        <w:t>Project Documentation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Background</w:t>
      </w:r>
      <w:r>
        <w:rPr/>
        <w:t>: Information needed to assess the effectiveness of the testing process and the current state of the project.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Purpose</w:t>
      </w:r>
      <w:r>
        <w:rPr/>
        <w:t>: To provide the key information about the testing process and</w:t>
      </w:r>
    </w:p>
    <w:p>
      <w:pPr>
        <w:pStyle w:val="Normal"/>
        <w:bidi w:val="0"/>
        <w:jc w:val="left"/>
        <w:rPr/>
      </w:pPr>
      <w:r>
        <w:rPr/>
        <w:t>testing results.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Scope</w:t>
      </w:r>
      <w:r>
        <w:rPr/>
        <w:t>: Testing process description, test results, metrics, timetable,</w:t>
      </w:r>
    </w:p>
    <w:p>
      <w:pPr>
        <w:pStyle w:val="Normal"/>
        <w:bidi w:val="0"/>
        <w:jc w:val="left"/>
        <w:rPr/>
      </w:pPr>
      <w:r>
        <w:rPr/>
        <w:t>recommendations.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Audience</w:t>
      </w:r>
      <w:r>
        <w:rPr/>
        <w:t>: Management staff, QA team, project team.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File</w:t>
      </w:r>
      <w:r>
        <w:rPr/>
        <w:t>: DQ_Test_Result_Report_Aliaksei_Papou.docx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Contents</w:t>
      </w:r>
    </w:p>
    <w:p>
      <w:pPr>
        <w:pStyle w:val="Normal"/>
        <w:bidi w:val="0"/>
        <w:jc w:val="left"/>
        <w:rPr/>
      </w:pPr>
      <w:r>
        <w:rPr/>
        <w:t>1. Summary ...............................................................……………...………...................................... 3</w:t>
      </w:r>
    </w:p>
    <w:p>
      <w:pPr>
        <w:pStyle w:val="Normal"/>
        <w:bidi w:val="0"/>
        <w:jc w:val="left"/>
        <w:rPr/>
      </w:pPr>
      <w:r>
        <w:rPr/>
        <w:t>2. Test team ..............................................................…….......………...………................................ 3</w:t>
      </w:r>
    </w:p>
    <w:p>
      <w:pPr>
        <w:pStyle w:val="Normal"/>
        <w:bidi w:val="0"/>
        <w:jc w:val="left"/>
        <w:rPr/>
      </w:pPr>
      <w:r>
        <w:rPr/>
        <w:t>3. Testing process description ................................……......………...………................................... 3</w:t>
      </w:r>
    </w:p>
    <w:p>
      <w:pPr>
        <w:pStyle w:val="Normal"/>
        <w:bidi w:val="0"/>
        <w:jc w:val="left"/>
        <w:rPr/>
      </w:pPr>
      <w:r>
        <w:rPr/>
        <w:t>4. Timetable ..........................................................…...………...………........................................... 3</w:t>
      </w:r>
    </w:p>
    <w:p>
      <w:pPr>
        <w:pStyle w:val="Normal"/>
        <w:bidi w:val="0"/>
        <w:jc w:val="left"/>
        <w:rPr/>
      </w:pPr>
      <w:r>
        <w:rPr/>
        <w:t>5. New defects statistics ....................................…..………...………............................................... 4</w:t>
      </w:r>
    </w:p>
    <w:p>
      <w:pPr>
        <w:pStyle w:val="Normal"/>
        <w:bidi w:val="0"/>
        <w:jc w:val="left"/>
        <w:rPr/>
      </w:pPr>
      <w:r>
        <w:rPr/>
        <w:t>6. New defects list .............................................…...……...……….................................................. 4</w:t>
      </w:r>
    </w:p>
    <w:p>
      <w:pPr>
        <w:pStyle w:val="Normal"/>
        <w:bidi w:val="0"/>
        <w:jc w:val="left"/>
        <w:rPr/>
      </w:pPr>
      <w:r>
        <w:rPr/>
        <w:t>7. Overall defects statistics ..............................…………...………................................................... 4</w:t>
      </w:r>
    </w:p>
    <w:p>
      <w:pPr>
        <w:pStyle w:val="Normal"/>
        <w:bidi w:val="0"/>
        <w:jc w:val="left"/>
        <w:rPr/>
      </w:pPr>
      <w:r>
        <w:rPr/>
        <w:t>8. Recommendations ...................................…...………...……….................................................... 5</w:t>
      </w:r>
    </w:p>
    <w:p>
      <w:pPr>
        <w:pStyle w:val="Normal"/>
        <w:bidi w:val="0"/>
        <w:jc w:val="left"/>
        <w:rPr/>
      </w:pPr>
      <w:r>
        <w:rPr/>
        <w:t>9. Attachments ...............................................………...…………..................................................... 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>
          <w:b/>
          <w:bCs/>
        </w:rPr>
        <w:t>Summary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The testing cycle for the Retail Analytics DWH project was conducted to verify data integrity across Landing, Core DWH, and Data Mart layers. Out of the 10 defects identified, 3 are Critical (Data Loss, Financial Discrepancies, and DM Duplicates) and 6 are Major.</w:t>
      </w:r>
    </w:p>
    <w:p>
      <w:pPr>
        <w:pStyle w:val="Normal"/>
        <w:bidi w:val="0"/>
        <w:jc w:val="left"/>
        <w:rPr/>
      </w:pPr>
      <w:r>
        <w:rPr/>
        <w:t>The high number of reconciliation errors and financial inconsistencies indicates that the ETL logic is unstable.</w:t>
      </w:r>
    </w:p>
    <w:p>
      <w:pPr>
        <w:pStyle w:val="Normal"/>
        <w:bidi w:val="0"/>
        <w:jc w:val="left"/>
        <w:rPr/>
      </w:pPr>
      <w:r>
        <w:rPr/>
        <w:t>Final Status: FAIL. The solution is not recommended for production deployment until all Critical and Major issues are resolved and verified.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>
          <w:b/>
          <w:bCs/>
        </w:rPr>
        <w:t>Test Team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Aliaksei Papou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DQ Student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End-to-end data validation, SQL scripting, defect reporting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Project Team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Developers/Stakeholders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Bug fixing and requirement clarification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>
          <w:b/>
          <w:bCs/>
        </w:rPr>
        <w:t>Testing Process Description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The testing process focused on the "Source to Target" (S2T) methodology using Postgres 16.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/>
          <w:bCs/>
        </w:rPr>
        <w:t>Data Reconciliation</w:t>
      </w:r>
      <w:r>
        <w:rPr/>
        <w:t>: Comparing row counts between Source, Landing, and DWH layers to identify data loss or "ghost" records.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/>
          <w:bCs/>
        </w:rPr>
        <w:t>Data Accuracy &amp; Quality</w:t>
      </w:r>
      <w:r>
        <w:rPr/>
        <w:t>: Validating attribute mapping, uniqueness of Primary Keys, and adherence to formatting standards (e.g., Phone numbers).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/>
          <w:bCs/>
        </w:rPr>
        <w:t>Business Logic &amp; Financials</w:t>
      </w:r>
      <w:r>
        <w:rPr/>
        <w:t>: Verifying aggregations in the Data Mart (dm_main_dashboard) against raw data in Core DWH.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/>
          <w:bCs/>
        </w:rPr>
        <w:t>Metadata Validation</w:t>
      </w:r>
      <w:r>
        <w:rPr/>
        <w:t>: Ensuring table structures and naming conventions match the technical specifications.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>
          <w:b/>
          <w:bCs/>
        </w:rPr>
        <w:t>Timetable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643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18"/>
        <w:gridCol w:w="1350"/>
        <w:gridCol w:w="4260"/>
        <w:gridCol w:w="2414"/>
      </w:tblGrid>
      <w:tr>
        <w:trPr/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Duration, hours</w:t>
            </w:r>
          </w:p>
        </w:tc>
      </w:tr>
      <w:tr>
        <w:trPr/>
        <w:tc>
          <w:tcPr>
            <w:tcW w:w="16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Aliaksei Papou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21.04.2026</w:t>
            </w:r>
          </w:p>
        </w:tc>
        <w:tc>
          <w:tcPr>
            <w:tcW w:w="4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Analysis of DWH Schema and Mapping docs</w:t>
            </w:r>
          </w:p>
        </w:tc>
        <w:tc>
          <w:tcPr>
            <w:tcW w:w="24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16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Aliaksei Papou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21.04.2026</w:t>
            </w:r>
          </w:p>
        </w:tc>
        <w:tc>
          <w:tcPr>
            <w:tcW w:w="4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 Scripts development (Reconciliation)</w:t>
            </w:r>
          </w:p>
        </w:tc>
        <w:tc>
          <w:tcPr>
            <w:tcW w:w="24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16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Aliaksei Papou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21.04.2026</w:t>
            </w:r>
          </w:p>
        </w:tc>
        <w:tc>
          <w:tcPr>
            <w:tcW w:w="4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Test Execution (Source to Target validation)</w:t>
            </w:r>
          </w:p>
        </w:tc>
        <w:tc>
          <w:tcPr>
            <w:tcW w:w="24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16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Aliaksei Papou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22.04.2026</w:t>
            </w:r>
          </w:p>
        </w:tc>
        <w:tc>
          <w:tcPr>
            <w:tcW w:w="4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Defect Reporting (10 bugs documented)</w:t>
            </w:r>
          </w:p>
        </w:tc>
        <w:tc>
          <w:tcPr>
            <w:tcW w:w="24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16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Aliaksei Papou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22.04.2026</w:t>
            </w:r>
          </w:p>
        </w:tc>
        <w:tc>
          <w:tcPr>
            <w:tcW w:w="4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Final Test Result Reporting</w:t>
            </w:r>
          </w:p>
        </w:tc>
        <w:tc>
          <w:tcPr>
            <w:tcW w:w="24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3</w:t>
      </w:r>
      <w:r>
        <w:rPr/>
        <w:fldChar w:fldCharType="end"/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>
          <w:b/>
          <w:bCs/>
        </w:rPr>
        <w:t>New Defects Statistics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5"/>
        <w:gridCol w:w="1930"/>
        <w:gridCol w:w="1925"/>
        <w:gridCol w:w="1930"/>
        <w:gridCol w:w="1928"/>
      </w:tblGrid>
      <w:tr>
        <w:trPr/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Total Submitted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Fixed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Verified</w:t>
            </w:r>
          </w:p>
        </w:tc>
      </w:tr>
      <w:tr>
        <w:trPr/>
        <w:tc>
          <w:tcPr>
            <w:tcW w:w="19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Critical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9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19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Major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19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19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Minor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9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19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TOTAL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9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0</w:t>
            </w:r>
          </w:p>
        </w:tc>
      </w:tr>
    </w:tbl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6. </w:t>
      </w:r>
      <w:r>
        <w:rPr>
          <w:b/>
          <w:bCs/>
        </w:rPr>
        <w:t>New defects list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tbl>
      <w:tblPr>
        <w:tblW w:w="9643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98"/>
        <w:gridCol w:w="1264"/>
        <w:gridCol w:w="7481"/>
      </w:tblGrid>
      <w:tr>
        <w:trPr/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</w:tr>
      <w:tr>
        <w:trPr/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Critical</w:t>
            </w:r>
          </w:p>
        </w:tc>
        <w:tc>
          <w:tcPr>
            <w:tcW w:w="7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Loss: Discrepancies in record counts between S1/S2 and Landing layer.</w:t>
            </w:r>
          </w:p>
        </w:tc>
      </w:tr>
      <w:tr>
        <w:trPr/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Major</w:t>
            </w:r>
          </w:p>
        </w:tc>
        <w:tc>
          <w:tcPr>
            <w:tcW w:w="7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Accuracy: Attribute mismatches in Landing layer vs Source systems.</w:t>
            </w:r>
          </w:p>
        </w:tc>
      </w:tr>
      <w:tr>
        <w:trPr/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Major</w:t>
            </w:r>
          </w:p>
        </w:tc>
        <w:tc>
          <w:tcPr>
            <w:tcW w:w="7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Uniqueness: Duplicate records found in Landing layer Primary Keys.</w:t>
            </w:r>
          </w:p>
        </w:tc>
      </w:tr>
      <w:tr>
        <w:trPr/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Major</w:t>
            </w:r>
          </w:p>
        </w:tc>
        <w:tc>
          <w:tcPr>
            <w:tcW w:w="7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Integration Loss: Channel ID 156 is missing in the dwh_channels table.</w:t>
            </w:r>
          </w:p>
        </w:tc>
      </w:tr>
      <w:tr>
        <w:trPr/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Critical</w:t>
            </w:r>
          </w:p>
        </w:tc>
        <w:tc>
          <w:tcPr>
            <w:tcW w:w="7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DM Duplicates: Duplicate records detected in the final dm_main_dashboard.</w:t>
            </w:r>
          </w:p>
        </w:tc>
      </w:tr>
      <w:tr>
        <w:trPr/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Major</w:t>
            </w:r>
          </w:p>
        </w:tc>
        <w:tc>
          <w:tcPr>
            <w:tcW w:w="7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Consistency: Record count mismatch between dwh_sales and dm_main_dashboard.</w:t>
            </w:r>
          </w:p>
        </w:tc>
      </w:tr>
      <w:tr>
        <w:trPr/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Critical</w:t>
            </w:r>
          </w:p>
        </w:tc>
        <w:tc>
          <w:tcPr>
            <w:tcW w:w="7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Financial Inconsistency: Total amount discrepancy between Core DWH and Data Mart.</w:t>
            </w:r>
          </w:p>
        </w:tc>
      </w:tr>
      <w:tr>
        <w:trPr/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Minor</w:t>
            </w:r>
          </w:p>
        </w:tc>
        <w:tc>
          <w:tcPr>
            <w:tcW w:w="7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Validity: Phone numbers contain leading spaces and exceed length constraints.</w:t>
            </w:r>
          </w:p>
        </w:tc>
      </w:tr>
      <w:tr>
        <w:trPr/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9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Major</w:t>
            </w:r>
          </w:p>
        </w:tc>
        <w:tc>
          <w:tcPr>
            <w:tcW w:w="7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Gap: Core DWH contains 181 extra sales records compared to Landing.</w:t>
            </w:r>
          </w:p>
        </w:tc>
      </w:tr>
      <w:tr>
        <w:trPr/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12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Major</w:t>
            </w:r>
          </w:p>
        </w:tc>
        <w:tc>
          <w:tcPr>
            <w:tcW w:w="7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Naming Convention: Incorrect column name channellocation in lnd_s1_channels.</w:t>
            </w:r>
          </w:p>
        </w:tc>
      </w:tr>
    </w:tbl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7. </w:t>
      </w:r>
      <w:r>
        <w:rPr>
          <w:b/>
          <w:bCs/>
        </w:rPr>
        <w:t>Overall defects statistics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06"/>
        <w:gridCol w:w="1606"/>
        <w:gridCol w:w="1606"/>
        <w:gridCol w:w="1607"/>
        <w:gridCol w:w="1607"/>
        <w:gridCol w:w="1605"/>
      </w:tblGrid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Low/Minor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Major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Critical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Submitted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Fixed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Verified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Reopened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Declined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/>
            </w:pPr>
            <w:r>
              <w:rPr/>
              <w:t>0</w:t>
            </w:r>
          </w:p>
        </w:tc>
      </w:tr>
    </w:tbl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PAGE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8. </w:t>
      </w:r>
      <w:r>
        <w:rPr>
          <w:b/>
          <w:bCs/>
        </w:rPr>
        <w:t>Recommendations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t>ETL Audit</w:t>
      </w:r>
      <w:r>
        <w:rPr>
          <w:b w:val="false"/>
          <w:bCs w:val="false"/>
        </w:rPr>
        <w:t>: Perform a deep-dive analysis of the ETL jobs to identify why 176 records are lost in s1_sales while 181 "ghost" records appear in dwh_sales.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t>Data Cleansing</w:t>
      </w:r>
      <w:r>
        <w:rPr>
          <w:b w:val="false"/>
          <w:bCs w:val="false"/>
        </w:rPr>
        <w:t>: Implement TRIM functions and length validation in the ETL pipeline to resolve phone number formatting issues.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t>Financial Logic</w:t>
      </w:r>
      <w:r>
        <w:rPr>
          <w:b w:val="false"/>
          <w:bCs w:val="false"/>
        </w:rPr>
        <w:t>: Review the JOIN logic and aggregation formulas in the Data Mart layer to eliminate the 2.812.60 discrepancy.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t>Constraints</w:t>
      </w:r>
      <w:r>
        <w:rPr>
          <w:b w:val="false"/>
          <w:bCs w:val="false"/>
        </w:rPr>
        <w:t>: Enable Primary Key constraints at the Landing level to prevent duplicates from propagating through the system.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9. </w:t>
      </w:r>
      <w:r>
        <w:rPr>
          <w:b/>
          <w:bCs/>
        </w:rPr>
        <w:t>Attachments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t xml:space="preserve">Severity Distribution: 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480695</wp:posOffset>
            </wp:positionH>
            <wp:positionV relativeFrom="paragraph">
              <wp:posOffset>635</wp:posOffset>
            </wp:positionV>
            <wp:extent cx="4867910" cy="2734310"/>
            <wp:effectExtent l="0" t="0" r="0" b="0"/>
            <wp:wrapSquare wrapText="largest"/>
            <wp:docPr id="2" name="Objec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Key Findings: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90% of identified issues fall into the Critical (30%) and Major (60%) categories.</w:t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The high volume of high-severity bugs indicates significant instability in the ETL transformation logic and data movement processes.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Data Reconciliation: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473710</wp:posOffset>
            </wp:positionH>
            <wp:positionV relativeFrom="paragraph">
              <wp:posOffset>69850</wp:posOffset>
            </wp:positionV>
            <wp:extent cx="4892675" cy="2754630"/>
            <wp:effectExtent l="0" t="0" r="0" b="0"/>
            <wp:wrapSquare wrapText="largest"/>
            <wp:docPr id="3" name="Object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Key Findings: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 clear discrepancy is visible across all layers: Landing layer shows a loss of 176 records, while Core DWH unexpectedly contains 181 "ghost" records more than the Landing layer.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This visualization confirms the presence of both Data Loss (Bug 1) and Incorrect Ingestion logic (Bug 9).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Data consistency between layers is currently not achieved.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t>Workload Analysis: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492760</wp:posOffset>
            </wp:positionH>
            <wp:positionV relativeFrom="paragraph">
              <wp:posOffset>635</wp:posOffset>
            </wp:positionV>
            <wp:extent cx="5252720" cy="2954020"/>
            <wp:effectExtent l="0" t="0" r="0" b="0"/>
            <wp:wrapSquare wrapText="largest"/>
            <wp:docPr id="4" name="Object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Key Findings: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The majority of the effort (over 50% of time) was dedicated to SQL Script Development and Test Execution, which was necessary due to the complexity of the DWH schema.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 significant amount of time was spent on Defect Reporting.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PAGE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6</w:t>
      </w:r>
      <w:r>
        <w:rPr>
          <w:b w:val="false"/>
          <w:bCs w:val="false"/>
        </w:rPr>
        <w:fldChar w:fldCharType="end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hart" Target="charts/chart1.xml"/><Relationship Id="rId4" Type="http://schemas.openxmlformats.org/officeDocument/2006/relationships/chart" Target="charts/chart2.xml"/><Relationship Id="rId5" Type="http://schemas.openxmlformats.org/officeDocument/2006/relationships/chart" Target="charts/chart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1" sz="1500" spc="-1" strike="noStrike">
                <a:solidFill>
                  <a:srgbClr val="223c56"/>
                </a:solidFill>
                <a:latin typeface="Arial"/>
              </a:defRPr>
            </a:pPr>
            <a:r>
              <a:rPr b="1" sz="1500" spc="-1" strike="noStrike">
                <a:solidFill>
                  <a:srgbClr val="223c56"/>
                </a:solidFill>
                <a:latin typeface="Arial"/>
              </a:rPr>
              <a:t>Severity</a:t>
            </a:r>
          </a:p>
        </c:rich>
      </c:tx>
      <c:layout>
        <c:manualLayout>
          <c:xMode val="edge"/>
          <c:yMode val="edge"/>
          <c:x val="0.827781503837842"/>
          <c:y val="0.0273625200213561"/>
        </c:manualLayout>
      </c:layout>
      <c:overlay val="0"/>
      <c:spPr>
        <a:solidFill>
          <a:srgbClr val="729fcf">
            <a:alpha val="50000"/>
          </a:srgbClr>
        </a:solidFill>
        <a:ln w="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20975"/>
          <c:y val="0.186555555555556"/>
          <c:w val="0.4395625"/>
          <c:h val="0.781444444444445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Count</c:v>
                </c:pt>
              </c:strCache>
            </c:strRef>
          </c:tx>
          <c:spPr>
            <a:noFill/>
            <a:ln w="0">
              <a:solidFill>
                <a:srgbClr val="8e86ae"/>
              </a:solidFill>
            </a:ln>
          </c:spPr>
          <c:explosion val="0"/>
          <c:dPt>
            <c:idx val="0"/>
            <c:spPr>
              <a:gradFill>
                <a:gsLst>
                  <a:gs pos="75000">
                    <a:srgbClr val="8e86ae"/>
                  </a:gs>
                  <a:gs pos="100000">
                    <a:srgbClr val="584f79"/>
                  </a:gs>
                </a:gsLst>
                <a:lin ang="0"/>
              </a:gradFill>
              <a:ln w="0">
                <a:solidFill>
                  <a:srgbClr val="8e86ae"/>
                </a:solidFill>
              </a:ln>
            </c:spPr>
          </c:dPt>
          <c:dPt>
            <c:idx val="1"/>
            <c:spPr>
              <a:gradFill>
                <a:gsLst>
                  <a:gs pos="0">
                    <a:srgbClr val="866fa2"/>
                  </a:gs>
                  <a:gs pos="100000">
                    <a:srgbClr val="f5dcdd"/>
                  </a:gs>
                </a:gsLst>
                <a:lin ang="5400000"/>
              </a:gradFill>
              <a:ln w="0">
                <a:solidFill>
                  <a:srgbClr val="8e86ae"/>
                </a:solidFill>
              </a:ln>
            </c:spPr>
          </c:dPt>
          <c:dPt>
            <c:idx val="2"/>
            <c:spPr>
              <a:gradFill>
                <a:gsLst>
                  <a:gs pos="0">
                    <a:srgbClr val="729fcf"/>
                  </a:gs>
                  <a:gs pos="100000">
                    <a:srgbClr val="79e6f9"/>
                  </a:gs>
                </a:gsLst>
                <a:lin ang="5400000"/>
              </a:gradFill>
              <a:ln w="0">
                <a:solidFill>
                  <a:srgbClr val="8e86ae"/>
                </a:solidFill>
              </a:ln>
            </c:spPr>
          </c:dPt>
          <c:dLbls>
            <c:dLbl>
              <c:idx val="0"/>
              <c:txPr>
                <a:bodyPr wrap="none"/>
                <a:lstStyle/>
                <a:p>
                  <a:pPr>
                    <a:defRPr b="0" sz="1100" spc="-1" strike="noStrik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1"/>
              <c:separator> </c:separator>
            </c:dLbl>
            <c:dLbl>
              <c:idx val="1"/>
              <c:txPr>
                <a:bodyPr wrap="none"/>
                <a:lstStyle/>
                <a:p>
                  <a:pPr>
                    <a:defRPr b="0" sz="1100" spc="-1" strike="noStrik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1"/>
              <c:separator> </c:separator>
            </c:dLbl>
            <c:dLbl>
              <c:idx val="2"/>
              <c:txPr>
                <a:bodyPr wrap="none"/>
                <a:lstStyle/>
                <a:p>
                  <a:pPr>
                    <a:defRPr b="0" sz="1100" spc="-1" strike="noStrik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1"/>
              <c:separator> </c:separator>
            </c:dLbl>
            <c:txPr>
              <a:bodyPr wrap="none"/>
              <a:lstStyle/>
              <a:p>
                <a:pPr>
                  <a:defRPr b="0" sz="11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eparator> </c:separator>
            <c:showLeaderLines val="1"/>
          </c:dLbls>
          <c:cat>
            <c:strRef>
              <c:f>categories</c:f>
              <c:strCache>
                <c:ptCount val="3"/>
                <c:pt idx="0">
                  <c:v>Critical</c:v>
                </c:pt>
                <c:pt idx="1">
                  <c:v>Major</c:v>
                </c:pt>
                <c:pt idx="2">
                  <c:v>Minor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3</c:v>
                </c:pt>
                <c:pt idx="1">
                  <c:v>6</c:v>
                </c:pt>
                <c:pt idx="2">
                  <c:v>1</c:v>
                </c:pt>
              </c:numCache>
            </c:numRef>
          </c:val>
        </c:ser>
        <c:firstSliceAng val="0"/>
      </c:pieChart>
      <c:spPr>
        <a:noFill/>
        <a:ln w="0">
          <a:noFill/>
        </a:ln>
      </c:spPr>
    </c:plotArea>
    <c:legend>
      <c:legendPos val="r"/>
      <c:layout>
        <c:manualLayout>
          <c:xMode val="edge"/>
          <c:yMode val="edge"/>
          <c:x val="0.843625"/>
          <c:y val="0.174"/>
          <c:w val="0.132820801300081"/>
          <c:h val="0.198910990110012"/>
        </c:manualLayout>
      </c:layout>
      <c:overlay val="0"/>
      <c:spPr>
        <a:solidFill>
          <a:srgbClr val="b4c7dc"/>
        </a:solidFill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zero"/>
  </c:chart>
  <c:spPr>
    <a:gradFill>
      <a:gsLst>
        <a:gs pos="75000">
          <a:srgbClr val="8e86ae"/>
        </a:gs>
        <a:gs pos="100000">
          <a:srgbClr val="584f79"/>
        </a:gs>
      </a:gsLst>
      <a:lin ang="0"/>
    </a:gra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solidFill>
                  <a:srgbClr val="000000"/>
                </a:solidFill>
                <a:latin typeface="Arial"/>
              </a:defRPr>
            </a:pPr>
            <a:r>
              <a:rPr b="0" sz="1300" spc="-1" strike="noStrike">
                <a:solidFill>
                  <a:srgbClr val="000000"/>
                </a:solidFill>
                <a:latin typeface="Arial"/>
              </a:rPr>
              <a:t>Row Count Reconciliation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Row Count</c:v>
                </c:pt>
              </c:strCache>
            </c:strRef>
          </c:tx>
          <c:spPr>
            <a:gradFill>
              <a:gsLst>
                <a:gs pos="75000">
                  <a:srgbClr val="8e86ae"/>
                </a:gs>
                <a:gs pos="100000">
                  <a:srgbClr val="584f79"/>
                </a:gs>
              </a:gsLst>
              <a:lin ang="0"/>
            </a:gradFill>
            <a:ln w="0">
              <a:solidFill>
                <a:srgbClr val="8e86ae"/>
              </a:solidFill>
            </a:ln>
          </c:spPr>
          <c:invertIfNegative val="0"/>
          <c:dLbls>
            <c:numFmt formatCode="General" sourceLinked="0"/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Source</c:v>
                </c:pt>
                <c:pt idx="1">
                  <c:v>Landing</c:v>
                </c:pt>
                <c:pt idx="2">
                  <c:v>DWH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23515</c:v>
                </c:pt>
                <c:pt idx="1">
                  <c:v>23339</c:v>
                </c:pt>
                <c:pt idx="2">
                  <c:v>23696</c:v>
                </c:pt>
              </c:numCache>
            </c:numRef>
          </c:val>
        </c:ser>
        <c:gapWidth val="100"/>
        <c:overlap val="0"/>
        <c:axId val="90167480"/>
        <c:axId val="31218594"/>
      </c:barChart>
      <c:catAx>
        <c:axId val="90167480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31218594"/>
        <c:crosses val="autoZero"/>
        <c:auto val="1"/>
        <c:lblAlgn val="ctr"/>
        <c:lblOffset val="100"/>
        <c:noMultiLvlLbl val="0"/>
      </c:catAx>
      <c:valAx>
        <c:axId val="31218594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90167480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Hours</c:v>
                </c:pt>
              </c:strCache>
            </c:strRef>
          </c:tx>
          <c:spPr>
            <a:gradFill>
              <a:gsLst>
                <a:gs pos="75000">
                  <a:srgbClr val="8e86ae"/>
                </a:gs>
                <a:gs pos="100000">
                  <a:srgbClr val="584f79"/>
                </a:gs>
              </a:gsLst>
              <a:lin ang="0"/>
            </a:gradFill>
            <a:ln w="0">
              <a:noFill/>
            </a:ln>
          </c:spPr>
          <c:invertIfNegative val="0"/>
          <c:dPt>
            <c:idx val="2"/>
            <c:invertIfNegative val="0"/>
            <c:spPr>
              <a:gradFill>
                <a:gsLst>
                  <a:gs pos="75000">
                    <a:srgbClr val="8e86ae"/>
                  </a:gs>
                  <a:gs pos="100000">
                    <a:srgbClr val="584f79"/>
                  </a:gs>
                </a:gsLst>
                <a:lin ang="0"/>
              </a:gradFill>
              <a:ln w="0">
                <a:noFill/>
              </a:ln>
            </c:spPr>
          </c:dPt>
          <c:dLbls>
            <c:numFmt formatCode="General" sourceLinked="0"/>
            <c:dLbl>
              <c:idx val="2"/>
              <c:numFmt formatCode="General" sourceLinked="0"/>
              <c:txPr>
                <a:bodyPr wrap="none"/>
                <a:lstStyle/>
                <a:p>
                  <a:pPr>
                    <a:defRPr b="0" sz="1000" spc="-1" strike="noStrike">
                      <a:solidFill>
                        <a:srgbClr val="000000"/>
                      </a:solidFill>
                      <a:latin typeface="Arial"/>
                    </a:defRPr>
                  </a:pPr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Analysis</c:v>
                </c:pt>
                <c:pt idx="1">
                  <c:v>SQL Development</c:v>
                </c:pt>
                <c:pt idx="2">
                  <c:v>Execution</c:v>
                </c:pt>
                <c:pt idx="3">
                  <c:v>Reporting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3</c:v>
                </c:pt>
              </c:numCache>
            </c:numRef>
          </c:val>
        </c:ser>
        <c:gapWidth val="100"/>
        <c:overlap val="0"/>
        <c:axId val="96657567"/>
        <c:axId val="49754257"/>
      </c:barChart>
      <c:catAx>
        <c:axId val="96657567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49754257"/>
        <c:crosses val="autoZero"/>
        <c:auto val="1"/>
        <c:lblAlgn val="ctr"/>
        <c:lblOffset val="100"/>
        <c:noMultiLvlLbl val="0"/>
      </c:catAx>
      <c:valAx>
        <c:axId val="49754257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96657567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LibreOffice/7.3.7.2$Linux_X86_64 LibreOffice_project/30$Build-2</Application>
  <AppVersion>15.0000</AppVersion>
  <Pages>6</Pages>
  <Words>782</Words>
  <Characters>5219</Characters>
  <CharactersWithSpaces>5803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2026-04-21T18:28:02Z</dcterms:created>
  <dc:creator/>
  <dc:description/>
  <dc:language>en-US</dc:language>
  <cp:lastModifiedBy/>
  <dcterms:modified xsi:type="dcterms:W3CDTF">2026-04-22T20:32:42Z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