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mal-foundation-platform"/>
    <w:p>
      <w:pPr>
        <w:pStyle w:val="Heading1"/>
      </w:pPr>
      <w:r>
        <w:t xml:space="preserve">Amal Foundation Platform</w:t>
      </w:r>
    </w:p>
    <w:bookmarkStart w:id="21" w:name="vision-architecture-blueprint-v1"/>
    <w:p>
      <w:pPr>
        <w:pStyle w:val="Heading2"/>
      </w:pPr>
      <w:r>
        <w:t xml:space="preserve">Vision &amp; Architecture Blueprint v1</w:t>
      </w:r>
    </w:p>
    <w:bookmarkStart w:id="20" w:name="الهدف"/>
    <w:p>
      <w:pPr>
        <w:pStyle w:val="Heading3"/>
      </w:pPr>
      <w:r>
        <w:t xml:space="preserve">الهدف</w:t>
      </w:r>
    </w:p>
    <w:p>
      <w:pPr>
        <w:pStyle w:val="FirstParagraph"/>
      </w:pPr>
      <w:r>
        <w:t xml:space="preserve">إنشاء منصة مؤسسية رقمية موحدة لإدارة جميع أعمال المؤسسة الحالية والمستقبلية من خلال نظام مركزي واحد.</w:t>
      </w:r>
    </w:p>
    <w:p>
      <w:pPr>
        <w:pStyle w:val="BodyText"/>
      </w:pPr>
      <w:r>
        <w:t xml:space="preserve">لا يكون التطبيق هو مركز النظام.</w:t>
      </w:r>
    </w:p>
    <w:p>
      <w:pPr>
        <w:pStyle w:val="BodyText"/>
      </w:pPr>
      <w:r>
        <w:t xml:space="preserve">ولا يكون الموقع هو مركز النظام.</w:t>
      </w:r>
    </w:p>
    <w:p>
      <w:pPr>
        <w:pStyle w:val="BodyText"/>
      </w:pPr>
      <w:r>
        <w:t xml:space="preserve">بل تكون المنصة المؤسسية المركزية هي مصدر البيانات الوحيد (Single Source of Truth)، وترتبط بها جميع التطبيقات والمواقع ولوحات التحكم.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المكونات-الرئيسية"/>
    <w:p>
      <w:pPr>
        <w:pStyle w:val="Heading1"/>
      </w:pPr>
      <w:r>
        <w:t xml:space="preserve">المكونات الرئيسية</w:t>
      </w:r>
    </w:p>
    <w:bookmarkStart w:id="23" w:name="core-platform"/>
    <w:p>
      <w:pPr>
        <w:pStyle w:val="Heading2"/>
      </w:pPr>
      <w:r>
        <w:t xml:space="preserve">1. Core Platform</w:t>
      </w:r>
    </w:p>
    <w:p>
      <w:pPr>
        <w:pStyle w:val="FirstParagraph"/>
      </w:pPr>
      <w:r>
        <w:t xml:space="preserve">النواة المركزية للمؤسسة.</w:t>
      </w:r>
    </w:p>
    <w:p>
      <w:pPr>
        <w:pStyle w:val="BodyText"/>
      </w:pPr>
      <w:r>
        <w:t xml:space="preserve">تحتوي على:</w:t>
      </w:r>
    </w:p>
    <w:p>
      <w:pPr>
        <w:pStyle w:val="Compact"/>
        <w:numPr>
          <w:ilvl w:val="0"/>
          <w:numId w:val="1001"/>
        </w:numPr>
      </w:pPr>
      <w:r>
        <w:t xml:space="preserve">إدارة الأشخاص</w:t>
      </w:r>
    </w:p>
    <w:p>
      <w:pPr>
        <w:pStyle w:val="Compact"/>
        <w:numPr>
          <w:ilvl w:val="0"/>
          <w:numId w:val="1001"/>
        </w:numPr>
      </w:pPr>
      <w:r>
        <w:t xml:space="preserve">إدارة المستخدمين</w:t>
      </w:r>
    </w:p>
    <w:p>
      <w:pPr>
        <w:pStyle w:val="Compact"/>
        <w:numPr>
          <w:ilvl w:val="0"/>
          <w:numId w:val="1001"/>
        </w:numPr>
      </w:pPr>
      <w:r>
        <w:t xml:space="preserve">الصلاحيات</w:t>
      </w:r>
    </w:p>
    <w:p>
      <w:pPr>
        <w:pStyle w:val="Compact"/>
        <w:numPr>
          <w:ilvl w:val="0"/>
          <w:numId w:val="1001"/>
        </w:numPr>
      </w:pPr>
      <w:r>
        <w:t xml:space="preserve">التبرعات</w:t>
      </w:r>
    </w:p>
    <w:p>
      <w:pPr>
        <w:pStyle w:val="Compact"/>
        <w:numPr>
          <w:ilvl w:val="0"/>
          <w:numId w:val="1001"/>
        </w:numPr>
      </w:pPr>
      <w:r>
        <w:t xml:space="preserve">الحملات</w:t>
      </w:r>
    </w:p>
    <w:p>
      <w:pPr>
        <w:pStyle w:val="Compact"/>
        <w:numPr>
          <w:ilvl w:val="0"/>
          <w:numId w:val="1001"/>
        </w:numPr>
      </w:pPr>
      <w:r>
        <w:t xml:space="preserve">الصناديق</w:t>
      </w:r>
    </w:p>
    <w:p>
      <w:pPr>
        <w:pStyle w:val="Compact"/>
        <w:numPr>
          <w:ilvl w:val="0"/>
          <w:numId w:val="1001"/>
        </w:numPr>
      </w:pPr>
      <w:r>
        <w:t xml:space="preserve">الاشتراكات</w:t>
      </w:r>
    </w:p>
    <w:p>
      <w:pPr>
        <w:pStyle w:val="Compact"/>
        <w:numPr>
          <w:ilvl w:val="0"/>
          <w:numId w:val="1001"/>
        </w:numPr>
      </w:pPr>
      <w:r>
        <w:t xml:space="preserve">الباقيات الصالحات</w:t>
      </w:r>
    </w:p>
    <w:p>
      <w:pPr>
        <w:pStyle w:val="Compact"/>
        <w:numPr>
          <w:ilvl w:val="0"/>
          <w:numId w:val="1001"/>
        </w:numPr>
      </w:pPr>
      <w:r>
        <w:t xml:space="preserve">المشاريع الطبية</w:t>
      </w:r>
    </w:p>
    <w:p>
      <w:pPr>
        <w:pStyle w:val="Compact"/>
        <w:numPr>
          <w:ilvl w:val="0"/>
          <w:numId w:val="1001"/>
        </w:numPr>
      </w:pPr>
      <w:r>
        <w:t xml:space="preserve">الإشعارات</w:t>
      </w:r>
    </w:p>
    <w:p>
      <w:pPr>
        <w:pStyle w:val="Compact"/>
        <w:numPr>
          <w:ilvl w:val="0"/>
          <w:numId w:val="1001"/>
        </w:numPr>
      </w:pPr>
      <w:r>
        <w:t xml:space="preserve">التقارير</w:t>
      </w:r>
    </w:p>
    <w:p>
      <w:pPr>
        <w:pStyle w:val="Compact"/>
        <w:numPr>
          <w:ilvl w:val="0"/>
          <w:numId w:val="1001"/>
        </w:numPr>
      </w:pPr>
      <w:r>
        <w:t xml:space="preserve">السجل التاريخي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القنوات-المرتبطة-بالمنصة"/>
    <w:p>
      <w:pPr>
        <w:pStyle w:val="Heading1"/>
      </w:pPr>
      <w:r>
        <w:t xml:space="preserve">القنوات المرتبطة بالمنصة</w:t>
      </w:r>
    </w:p>
    <w:bookmarkStart w:id="27" w:name="mobile-application"/>
    <w:p>
      <w:pPr>
        <w:pStyle w:val="Heading2"/>
      </w:pPr>
      <w:r>
        <w:t xml:space="preserve">Mobile Application</w:t>
      </w:r>
    </w:p>
    <w:p>
      <w:pPr>
        <w:pStyle w:val="FirstParagraph"/>
      </w:pPr>
      <w:r>
        <w:t xml:space="preserve">تطبيق المستخدمين.</w:t>
      </w:r>
    </w:p>
    <w:p>
      <w:pPr>
        <w:pStyle w:val="BodyText"/>
      </w:pPr>
      <w:r>
        <w:t xml:space="preserve">يحتوي على:</w:t>
      </w:r>
    </w:p>
    <w:bookmarkStart w:id="25" w:name="الخدمات-التعبدية"/>
    <w:p>
      <w:pPr>
        <w:pStyle w:val="Heading3"/>
      </w:pPr>
      <w:r>
        <w:t xml:space="preserve">الخدمات التعبدية</w:t>
      </w:r>
    </w:p>
    <w:p>
      <w:pPr>
        <w:pStyle w:val="Compact"/>
        <w:numPr>
          <w:ilvl w:val="0"/>
          <w:numId w:val="1002"/>
        </w:numPr>
      </w:pPr>
      <w:r>
        <w:t xml:space="preserve">القرآن الكريم</w:t>
      </w:r>
    </w:p>
    <w:p>
      <w:pPr>
        <w:pStyle w:val="Compact"/>
        <w:numPr>
          <w:ilvl w:val="0"/>
          <w:numId w:val="1002"/>
        </w:numPr>
      </w:pPr>
      <w:r>
        <w:t xml:space="preserve">مفاتيح الجنان</w:t>
      </w:r>
    </w:p>
    <w:p>
      <w:pPr>
        <w:pStyle w:val="Compact"/>
        <w:numPr>
          <w:ilvl w:val="0"/>
          <w:numId w:val="1002"/>
        </w:numPr>
      </w:pPr>
      <w:r>
        <w:t xml:space="preserve">الصحيفة السجادية</w:t>
      </w:r>
    </w:p>
    <w:p>
      <w:pPr>
        <w:pStyle w:val="Compact"/>
        <w:numPr>
          <w:ilvl w:val="0"/>
          <w:numId w:val="1002"/>
        </w:numPr>
      </w:pPr>
      <w:r>
        <w:t xml:space="preserve">أوقات الصلاة</w:t>
      </w:r>
    </w:p>
    <w:p>
      <w:pPr>
        <w:pStyle w:val="Compact"/>
        <w:numPr>
          <w:ilvl w:val="0"/>
          <w:numId w:val="1002"/>
        </w:numPr>
      </w:pPr>
      <w:r>
        <w:t xml:space="preserve">التعقيبات</w:t>
      </w:r>
    </w:p>
    <w:p>
      <w:pPr>
        <w:pStyle w:val="Compact"/>
        <w:numPr>
          <w:ilvl w:val="0"/>
          <w:numId w:val="1002"/>
        </w:numPr>
      </w:pPr>
      <w:r>
        <w:t xml:space="preserve">المسبحة</w:t>
      </w:r>
    </w:p>
    <w:p>
      <w:pPr>
        <w:pStyle w:val="Compact"/>
        <w:numPr>
          <w:ilvl w:val="0"/>
          <w:numId w:val="1002"/>
        </w:numPr>
      </w:pPr>
      <w:r>
        <w:t xml:space="preserve">ختمات القرآن</w:t>
      </w:r>
    </w:p>
    <w:p>
      <w:pPr>
        <w:pStyle w:val="Compact"/>
        <w:numPr>
          <w:ilvl w:val="0"/>
          <w:numId w:val="1002"/>
        </w:numPr>
      </w:pPr>
      <w:r>
        <w:t xml:space="preserve">الوصية</w:t>
      </w:r>
    </w:p>
    <w:p>
      <w:pPr>
        <w:pStyle w:val="Compact"/>
        <w:numPr>
          <w:ilvl w:val="0"/>
          <w:numId w:val="1002"/>
        </w:numPr>
      </w:pPr>
      <w:r>
        <w:t xml:space="preserve">ذكر موتاكم</w:t>
      </w:r>
    </w:p>
    <w:bookmarkEnd w:id="25"/>
    <w:bookmarkStart w:id="26" w:name="خدمات-المؤسسة"/>
    <w:p>
      <w:pPr>
        <w:pStyle w:val="Heading3"/>
      </w:pPr>
      <w:r>
        <w:t xml:space="preserve">خدمات المؤسسة</w:t>
      </w:r>
    </w:p>
    <w:p>
      <w:pPr>
        <w:pStyle w:val="Compact"/>
        <w:numPr>
          <w:ilvl w:val="0"/>
          <w:numId w:val="1003"/>
        </w:numPr>
      </w:pPr>
      <w:r>
        <w:t xml:space="preserve">التبرعات</w:t>
      </w:r>
    </w:p>
    <w:p>
      <w:pPr>
        <w:pStyle w:val="Compact"/>
        <w:numPr>
          <w:ilvl w:val="0"/>
          <w:numId w:val="1003"/>
        </w:numPr>
      </w:pPr>
      <w:r>
        <w:t xml:space="preserve">الحملات</w:t>
      </w:r>
    </w:p>
    <w:p>
      <w:pPr>
        <w:pStyle w:val="Compact"/>
        <w:numPr>
          <w:ilvl w:val="0"/>
          <w:numId w:val="1003"/>
        </w:numPr>
      </w:pPr>
      <w:r>
        <w:t xml:space="preserve">الاشتراكات</w:t>
      </w:r>
    </w:p>
    <w:p>
      <w:pPr>
        <w:pStyle w:val="Compact"/>
        <w:numPr>
          <w:ilvl w:val="0"/>
          <w:numId w:val="1003"/>
        </w:numPr>
      </w:pPr>
      <w:r>
        <w:t xml:space="preserve">طلب الصندوق</w:t>
      </w:r>
    </w:p>
    <w:p>
      <w:pPr>
        <w:pStyle w:val="Compact"/>
        <w:numPr>
          <w:ilvl w:val="0"/>
          <w:numId w:val="1003"/>
        </w:numPr>
      </w:pPr>
      <w:r>
        <w:t xml:space="preserve">المشاريع الطبية</w:t>
      </w:r>
    </w:p>
    <w:p>
      <w:pPr>
        <w:pStyle w:val="Compact"/>
        <w:numPr>
          <w:ilvl w:val="0"/>
          <w:numId w:val="1003"/>
        </w:numPr>
      </w:pPr>
      <w:r>
        <w:t xml:space="preserve">الإشعارات</w:t>
      </w:r>
    </w:p>
    <w:p>
      <w:pPr>
        <w:pStyle w:val="Compact"/>
        <w:numPr>
          <w:ilvl w:val="0"/>
          <w:numId w:val="1003"/>
        </w:numPr>
      </w:pPr>
      <w:r>
        <w:t xml:space="preserve">ملف المستخدم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ebsite"/>
    <w:p>
      <w:pPr>
        <w:pStyle w:val="Heading2"/>
      </w:pPr>
      <w:r>
        <w:t xml:space="preserve">Website</w:t>
      </w:r>
    </w:p>
    <w:p>
      <w:pPr>
        <w:pStyle w:val="FirstParagraph"/>
      </w:pPr>
      <w:r>
        <w:t xml:space="preserve">بوابة المؤسسة الإلكترونية.</w:t>
      </w:r>
    </w:p>
    <w:p>
      <w:pPr>
        <w:pStyle w:val="BodyText"/>
      </w:pPr>
      <w:r>
        <w:t xml:space="preserve">تحتوي على:</w:t>
      </w:r>
    </w:p>
    <w:p>
      <w:pPr>
        <w:pStyle w:val="Compact"/>
        <w:numPr>
          <w:ilvl w:val="0"/>
          <w:numId w:val="1004"/>
        </w:numPr>
      </w:pPr>
      <w:r>
        <w:t xml:space="preserve">التعريف بالمؤسسة</w:t>
      </w:r>
    </w:p>
    <w:p>
      <w:pPr>
        <w:pStyle w:val="Compact"/>
        <w:numPr>
          <w:ilvl w:val="0"/>
          <w:numId w:val="1004"/>
        </w:numPr>
      </w:pPr>
      <w:r>
        <w:t xml:space="preserve">الحملات</w:t>
      </w:r>
    </w:p>
    <w:p>
      <w:pPr>
        <w:pStyle w:val="Compact"/>
        <w:numPr>
          <w:ilvl w:val="0"/>
          <w:numId w:val="1004"/>
        </w:numPr>
      </w:pPr>
      <w:r>
        <w:t xml:space="preserve">التبرعات</w:t>
      </w:r>
    </w:p>
    <w:p>
      <w:pPr>
        <w:pStyle w:val="Compact"/>
        <w:numPr>
          <w:ilvl w:val="0"/>
          <w:numId w:val="1004"/>
        </w:numPr>
      </w:pPr>
      <w:r>
        <w:t xml:space="preserve">الاشتراكات</w:t>
      </w:r>
    </w:p>
    <w:p>
      <w:pPr>
        <w:pStyle w:val="Compact"/>
        <w:numPr>
          <w:ilvl w:val="0"/>
          <w:numId w:val="1004"/>
        </w:numPr>
      </w:pPr>
      <w:r>
        <w:t xml:space="preserve">طلب الصندوق</w:t>
      </w:r>
    </w:p>
    <w:p>
      <w:pPr>
        <w:pStyle w:val="Compact"/>
        <w:numPr>
          <w:ilvl w:val="0"/>
          <w:numId w:val="1004"/>
        </w:numPr>
      </w:pPr>
      <w:r>
        <w:t xml:space="preserve">الأخبار</w:t>
      </w:r>
    </w:p>
    <w:p>
      <w:pPr>
        <w:pStyle w:val="Compact"/>
        <w:numPr>
          <w:ilvl w:val="0"/>
          <w:numId w:val="1004"/>
        </w:numPr>
      </w:pPr>
      <w:r>
        <w:t xml:space="preserve">المقالات</w:t>
      </w:r>
    </w:p>
    <w:p>
      <w:pPr>
        <w:pStyle w:val="Compact"/>
        <w:numPr>
          <w:ilvl w:val="0"/>
          <w:numId w:val="1004"/>
        </w:numPr>
      </w:pPr>
      <w:r>
        <w:t xml:space="preserve">النماذج الإلكترونية</w:t>
      </w:r>
    </w:p>
    <w:p>
      <w:pPr>
        <w:pStyle w:val="Compact"/>
        <w:numPr>
          <w:ilvl w:val="0"/>
          <w:numId w:val="1004"/>
        </w:numPr>
      </w:pPr>
      <w:r>
        <w:t xml:space="preserve">المشاريع الطبية</w:t>
      </w:r>
    </w:p>
    <w:p>
      <w:r>
        <w:pict>
          <v:rect style="width:0;height:1.5pt" o:hralign="center" o:hrstd="t" o:hr="t"/>
        </w:pict>
      </w:r>
    </w:p>
    <w:bookmarkEnd w:id="28"/>
    <w:bookmarkStart w:id="29" w:name="collector-application"/>
    <w:p>
      <w:pPr>
        <w:pStyle w:val="Heading2"/>
      </w:pPr>
      <w:r>
        <w:t xml:space="preserve">Collector Application</w:t>
      </w:r>
    </w:p>
    <w:p>
      <w:pPr>
        <w:pStyle w:val="FirstParagraph"/>
      </w:pPr>
      <w:r>
        <w:t xml:space="preserve">تطبيق المحصلين.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5"/>
        </w:numPr>
      </w:pPr>
      <w:r>
        <w:t xml:space="preserve">تسجيل الدخول</w:t>
      </w:r>
    </w:p>
    <w:p>
      <w:pPr>
        <w:pStyle w:val="Compact"/>
        <w:numPr>
          <w:ilvl w:val="0"/>
          <w:numId w:val="1005"/>
        </w:numPr>
      </w:pPr>
      <w:r>
        <w:t xml:space="preserve">عرض المشتركين</w:t>
      </w:r>
    </w:p>
    <w:p>
      <w:pPr>
        <w:pStyle w:val="Compact"/>
        <w:numPr>
          <w:ilvl w:val="0"/>
          <w:numId w:val="1005"/>
        </w:numPr>
      </w:pPr>
      <w:r>
        <w:t xml:space="preserve">تسجيل التحصيلات</w:t>
      </w:r>
    </w:p>
    <w:p>
      <w:pPr>
        <w:pStyle w:val="Compact"/>
        <w:numPr>
          <w:ilvl w:val="0"/>
          <w:numId w:val="1005"/>
        </w:numPr>
      </w:pPr>
      <w:r>
        <w:t xml:space="preserve">العمل بدون إنترنت</w:t>
      </w:r>
    </w:p>
    <w:p>
      <w:pPr>
        <w:pStyle w:val="Compact"/>
        <w:numPr>
          <w:ilvl w:val="0"/>
          <w:numId w:val="1005"/>
        </w:numPr>
      </w:pPr>
      <w:r>
        <w:t xml:space="preserve">المزامنة التلقائية</w:t>
      </w:r>
    </w:p>
    <w:p>
      <w:pPr>
        <w:pStyle w:val="Compact"/>
        <w:numPr>
          <w:ilvl w:val="0"/>
          <w:numId w:val="1005"/>
        </w:numPr>
      </w:pPr>
      <w:r>
        <w:t xml:space="preserve">تقارير التحصيل</w:t>
      </w:r>
    </w:p>
    <w:p>
      <w:r>
        <w:pict>
          <v:rect style="width:0;height:1.5pt" o:hralign="center" o:hrstd="t" o:hr="t"/>
        </w:pict>
      </w:r>
    </w:p>
    <w:bookmarkEnd w:id="29"/>
    <w:bookmarkStart w:id="30" w:name="admin-portals"/>
    <w:p>
      <w:pPr>
        <w:pStyle w:val="Heading2"/>
      </w:pPr>
      <w:r>
        <w:t xml:space="preserve">Admin Portals</w:t>
      </w:r>
    </w:p>
    <w:p>
      <w:pPr>
        <w:pStyle w:val="FirstParagraph"/>
      </w:pPr>
      <w:r>
        <w:t xml:space="preserve">لوحات التحكم الإدارية.</w:t>
      </w:r>
    </w:p>
    <w:p>
      <w:pPr>
        <w:pStyle w:val="BodyText"/>
      </w:pPr>
      <w:r>
        <w:t xml:space="preserve">وتشمل:</w:t>
      </w:r>
    </w:p>
    <w:p>
      <w:pPr>
        <w:pStyle w:val="Compact"/>
        <w:numPr>
          <w:ilvl w:val="0"/>
          <w:numId w:val="1006"/>
        </w:numPr>
      </w:pPr>
      <w:r>
        <w:t xml:space="preserve">الإدارة العليا</w:t>
      </w:r>
    </w:p>
    <w:p>
      <w:pPr>
        <w:pStyle w:val="Compact"/>
        <w:numPr>
          <w:ilvl w:val="0"/>
          <w:numId w:val="1006"/>
        </w:numPr>
      </w:pPr>
      <w:r>
        <w:t xml:space="preserve">إدارة المحتوى</w:t>
      </w:r>
    </w:p>
    <w:p>
      <w:pPr>
        <w:pStyle w:val="Compact"/>
        <w:numPr>
          <w:ilvl w:val="0"/>
          <w:numId w:val="1006"/>
        </w:numPr>
      </w:pPr>
      <w:r>
        <w:t xml:space="preserve">إدارة التبرعات</w:t>
      </w:r>
    </w:p>
    <w:p>
      <w:pPr>
        <w:pStyle w:val="Compact"/>
        <w:numPr>
          <w:ilvl w:val="0"/>
          <w:numId w:val="1006"/>
        </w:numPr>
      </w:pPr>
      <w:r>
        <w:t xml:space="preserve">إدارة الصناديق</w:t>
      </w:r>
    </w:p>
    <w:p>
      <w:pPr>
        <w:pStyle w:val="Compact"/>
        <w:numPr>
          <w:ilvl w:val="0"/>
          <w:numId w:val="1006"/>
        </w:numPr>
      </w:pPr>
      <w:r>
        <w:t xml:space="preserve">إدارة الباقيات الصالحات</w:t>
      </w:r>
    </w:p>
    <w:p>
      <w:pPr>
        <w:pStyle w:val="Compact"/>
        <w:numPr>
          <w:ilvl w:val="0"/>
          <w:numId w:val="1006"/>
        </w:numPr>
      </w:pPr>
      <w:r>
        <w:t xml:space="preserve">إدارة المشاريع الطبية</w:t>
      </w:r>
    </w:p>
    <w:p>
      <w:pPr>
        <w:pStyle w:val="Compact"/>
        <w:numPr>
          <w:ilvl w:val="0"/>
          <w:numId w:val="1006"/>
        </w:numPr>
      </w:pPr>
      <w:r>
        <w:t xml:space="preserve">إدارة المستخدمين والصلاحيات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الكيان-المركزي"/>
    <w:p>
      <w:pPr>
        <w:pStyle w:val="Heading1"/>
      </w:pPr>
      <w:r>
        <w:t xml:space="preserve">الكيان المركزي</w:t>
      </w:r>
    </w:p>
    <w:bookmarkStart w:id="32" w:name="person"/>
    <w:p>
      <w:pPr>
        <w:pStyle w:val="Heading2"/>
      </w:pPr>
      <w:r>
        <w:t xml:space="preserve">Person</w:t>
      </w:r>
    </w:p>
    <w:p>
      <w:pPr>
        <w:pStyle w:val="FirstParagraph"/>
      </w:pPr>
      <w:r>
        <w:t xml:space="preserve">الشخص هو العنصر الأساسي في المؤسسة.</w:t>
      </w:r>
    </w:p>
    <w:p>
      <w:pPr>
        <w:pStyle w:val="BodyText"/>
      </w:pPr>
      <w:r>
        <w:t xml:space="preserve">يمكن أن يكون:</w:t>
      </w:r>
    </w:p>
    <w:p>
      <w:pPr>
        <w:pStyle w:val="Compact"/>
        <w:numPr>
          <w:ilvl w:val="0"/>
          <w:numId w:val="1007"/>
        </w:numPr>
      </w:pPr>
      <w:r>
        <w:t xml:space="preserve">متبرع</w:t>
      </w:r>
    </w:p>
    <w:p>
      <w:pPr>
        <w:pStyle w:val="Compact"/>
        <w:numPr>
          <w:ilvl w:val="0"/>
          <w:numId w:val="1007"/>
        </w:numPr>
      </w:pPr>
      <w:r>
        <w:t xml:space="preserve">مشترك</w:t>
      </w:r>
    </w:p>
    <w:p>
      <w:pPr>
        <w:pStyle w:val="Compact"/>
        <w:numPr>
          <w:ilvl w:val="0"/>
          <w:numId w:val="1007"/>
        </w:numPr>
      </w:pPr>
      <w:r>
        <w:t xml:space="preserve">صاحب صندوق</w:t>
      </w:r>
    </w:p>
    <w:p>
      <w:pPr>
        <w:pStyle w:val="Compact"/>
        <w:numPr>
          <w:ilvl w:val="0"/>
          <w:numId w:val="1007"/>
        </w:numPr>
      </w:pPr>
      <w:r>
        <w:t xml:space="preserve">مستفيد</w:t>
      </w:r>
    </w:p>
    <w:p>
      <w:pPr>
        <w:pStyle w:val="Compact"/>
        <w:numPr>
          <w:ilvl w:val="0"/>
          <w:numId w:val="1007"/>
        </w:numPr>
      </w:pPr>
      <w:r>
        <w:t xml:space="preserve">مريض</w:t>
      </w:r>
    </w:p>
    <w:p>
      <w:pPr>
        <w:pStyle w:val="Compact"/>
        <w:numPr>
          <w:ilvl w:val="0"/>
          <w:numId w:val="1007"/>
        </w:numPr>
      </w:pPr>
      <w:r>
        <w:t xml:space="preserve">متطوع</w:t>
      </w:r>
    </w:p>
    <w:p>
      <w:pPr>
        <w:pStyle w:val="Compact"/>
        <w:numPr>
          <w:ilvl w:val="0"/>
          <w:numId w:val="1007"/>
        </w:numPr>
      </w:pPr>
      <w:r>
        <w:t xml:space="preserve">موظف</w:t>
      </w:r>
    </w:p>
    <w:p>
      <w:pPr>
        <w:pStyle w:val="Compact"/>
        <w:numPr>
          <w:ilvl w:val="0"/>
          <w:numId w:val="1007"/>
        </w:numPr>
      </w:pPr>
      <w:r>
        <w:t xml:space="preserve">إداري</w:t>
      </w:r>
    </w:p>
    <w:p>
      <w:pPr>
        <w:pStyle w:val="FirstParagraph"/>
      </w:pPr>
      <w:r>
        <w:t xml:space="preserve">ويجب أن يمتلك ملفاً موحداً داخل النظام.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الملف-الموحد-للشخص"/>
    <w:p>
      <w:pPr>
        <w:pStyle w:val="Heading1"/>
      </w:pPr>
      <w:r>
        <w:t xml:space="preserve">الملف الموحد للشخص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08"/>
        </w:numPr>
      </w:pPr>
      <w:r>
        <w:t xml:space="preserve">المعلومات الشخصية</w:t>
      </w:r>
    </w:p>
    <w:p>
      <w:pPr>
        <w:pStyle w:val="Compact"/>
        <w:numPr>
          <w:ilvl w:val="0"/>
          <w:numId w:val="1008"/>
        </w:numPr>
      </w:pPr>
      <w:r>
        <w:t xml:space="preserve">معلومات التواصل</w:t>
      </w:r>
    </w:p>
    <w:p>
      <w:pPr>
        <w:pStyle w:val="Compact"/>
        <w:numPr>
          <w:ilvl w:val="0"/>
          <w:numId w:val="1008"/>
        </w:numPr>
      </w:pPr>
      <w:r>
        <w:t xml:space="preserve">التبرعات</w:t>
      </w:r>
    </w:p>
    <w:p>
      <w:pPr>
        <w:pStyle w:val="Compact"/>
        <w:numPr>
          <w:ilvl w:val="0"/>
          <w:numId w:val="1008"/>
        </w:numPr>
      </w:pPr>
      <w:r>
        <w:t xml:space="preserve">الاشتراكات</w:t>
      </w:r>
    </w:p>
    <w:p>
      <w:pPr>
        <w:pStyle w:val="Compact"/>
        <w:numPr>
          <w:ilvl w:val="0"/>
          <w:numId w:val="1008"/>
        </w:numPr>
      </w:pPr>
      <w:r>
        <w:t xml:space="preserve">الصناديق</w:t>
      </w:r>
    </w:p>
    <w:p>
      <w:pPr>
        <w:pStyle w:val="Compact"/>
        <w:numPr>
          <w:ilvl w:val="0"/>
          <w:numId w:val="1008"/>
        </w:numPr>
      </w:pPr>
      <w:r>
        <w:t xml:space="preserve">المشاريع الطبية</w:t>
      </w:r>
    </w:p>
    <w:p>
      <w:pPr>
        <w:pStyle w:val="Compact"/>
        <w:numPr>
          <w:ilvl w:val="0"/>
          <w:numId w:val="1008"/>
        </w:numPr>
      </w:pPr>
      <w:r>
        <w:t xml:space="preserve">الحملات</w:t>
      </w:r>
    </w:p>
    <w:p>
      <w:pPr>
        <w:pStyle w:val="Compact"/>
        <w:numPr>
          <w:ilvl w:val="0"/>
          <w:numId w:val="1008"/>
        </w:numPr>
      </w:pPr>
      <w:r>
        <w:t xml:space="preserve">النشاطات</w:t>
      </w:r>
    </w:p>
    <w:p>
      <w:pPr>
        <w:pStyle w:val="Compact"/>
        <w:numPr>
          <w:ilvl w:val="0"/>
          <w:numId w:val="1008"/>
        </w:numPr>
      </w:pPr>
      <w:r>
        <w:t xml:space="preserve">السجل الزمني الكامل</w:t>
      </w:r>
    </w:p>
    <w:p>
      <w:r>
        <w:pict>
          <v:rect style="width:0;height:1.5pt" o:hralign="center" o:hrstd="t" o:hr="t"/>
        </w:pict>
      </w:r>
    </w:p>
    <w:bookmarkEnd w:id="34"/>
    <w:bookmarkStart w:id="37" w:name="مبدأ-البيانات"/>
    <w:p>
      <w:pPr>
        <w:pStyle w:val="Heading1"/>
      </w:pPr>
      <w:r>
        <w:t xml:space="preserve">مبدأ البيانات</w:t>
      </w:r>
    </w:p>
    <w:p>
      <w:pPr>
        <w:pStyle w:val="FirstParagraph"/>
      </w:pPr>
      <w:r>
        <w:t xml:space="preserve">تنقسم البيانات إلى قسمين:</w:t>
      </w:r>
    </w:p>
    <w:bookmarkStart w:id="35" w:name="personal-data"/>
    <w:p>
      <w:pPr>
        <w:pStyle w:val="Heading2"/>
      </w:pPr>
      <w:r>
        <w:t xml:space="preserve">Personal Data</w:t>
      </w:r>
    </w:p>
    <w:p>
      <w:pPr>
        <w:pStyle w:val="FirstParagraph"/>
      </w:pPr>
      <w:r>
        <w:t xml:space="preserve">بيانات تخص المستخدم فقط.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09"/>
        </w:numPr>
      </w:pPr>
      <w:r>
        <w:t xml:space="preserve">الملاحظات</w:t>
      </w:r>
    </w:p>
    <w:p>
      <w:pPr>
        <w:pStyle w:val="Compact"/>
        <w:numPr>
          <w:ilvl w:val="0"/>
          <w:numId w:val="1009"/>
        </w:numPr>
      </w:pPr>
      <w:r>
        <w:t xml:space="preserve">العلامات المرجعية</w:t>
      </w:r>
    </w:p>
    <w:p>
      <w:pPr>
        <w:pStyle w:val="Compact"/>
        <w:numPr>
          <w:ilvl w:val="0"/>
          <w:numId w:val="1009"/>
        </w:numPr>
      </w:pPr>
      <w:r>
        <w:t xml:space="preserve">تقدم القراءة</w:t>
      </w:r>
    </w:p>
    <w:p>
      <w:pPr>
        <w:pStyle w:val="Compact"/>
        <w:numPr>
          <w:ilvl w:val="0"/>
          <w:numId w:val="1009"/>
        </w:numPr>
      </w:pPr>
      <w:r>
        <w:t xml:space="preserve">تقدم الحفظ</w:t>
      </w:r>
    </w:p>
    <w:p>
      <w:pPr>
        <w:pStyle w:val="Compact"/>
        <w:numPr>
          <w:ilvl w:val="0"/>
          <w:numId w:val="1009"/>
        </w:numPr>
      </w:pPr>
      <w:r>
        <w:t xml:space="preserve">إعدادات التطبيق</w:t>
      </w:r>
    </w:p>
    <w:p>
      <w:pPr>
        <w:pStyle w:val="Compact"/>
        <w:numPr>
          <w:ilvl w:val="0"/>
          <w:numId w:val="1009"/>
        </w:numPr>
      </w:pPr>
      <w:r>
        <w:t xml:space="preserve">المفضلات</w:t>
      </w:r>
    </w:p>
    <w:p>
      <w:pPr>
        <w:pStyle w:val="FirstParagraph"/>
      </w:pPr>
      <w:r>
        <w:t xml:space="preserve">هذه البيانات تحفظ على الخادم وتعود للمستخدم عند تسجيل الدخول من أي جهاز.</w:t>
      </w:r>
    </w:p>
    <w:p>
      <w:pPr>
        <w:pStyle w:val="BodyText"/>
      </w:pPr>
      <w:r>
        <w:t xml:space="preserve">لكنها لا تظهر ضمن تقارير ERP.</w:t>
      </w:r>
    </w:p>
    <w:p>
      <w:r>
        <w:pict>
          <v:rect style="width:0;height:1.5pt" o:hralign="center" o:hrstd="t" o:hr="t"/>
        </w:pict>
      </w:r>
    </w:p>
    <w:bookmarkEnd w:id="35"/>
    <w:bookmarkStart w:id="36" w:name="institutional-data"/>
    <w:p>
      <w:pPr>
        <w:pStyle w:val="Heading2"/>
      </w:pPr>
      <w:r>
        <w:t xml:space="preserve">Institutional Data</w:t>
      </w:r>
    </w:p>
    <w:p>
      <w:pPr>
        <w:pStyle w:val="FirstParagraph"/>
      </w:pPr>
      <w:r>
        <w:t xml:space="preserve">بيانات تخص المؤسسة.</w:t>
      </w:r>
    </w:p>
    <w:p>
      <w:pPr>
        <w:pStyle w:val="BodyText"/>
      </w:pPr>
      <w:r>
        <w:t xml:space="preserve">مثل:</w:t>
      </w:r>
    </w:p>
    <w:p>
      <w:pPr>
        <w:pStyle w:val="Compact"/>
        <w:numPr>
          <w:ilvl w:val="0"/>
          <w:numId w:val="1010"/>
        </w:numPr>
      </w:pPr>
      <w:r>
        <w:t xml:space="preserve">التبرعات</w:t>
      </w:r>
    </w:p>
    <w:p>
      <w:pPr>
        <w:pStyle w:val="Compact"/>
        <w:numPr>
          <w:ilvl w:val="0"/>
          <w:numId w:val="1010"/>
        </w:numPr>
      </w:pPr>
      <w:r>
        <w:t xml:space="preserve">الحملات</w:t>
      </w:r>
    </w:p>
    <w:p>
      <w:pPr>
        <w:pStyle w:val="Compact"/>
        <w:numPr>
          <w:ilvl w:val="0"/>
          <w:numId w:val="1010"/>
        </w:numPr>
      </w:pPr>
      <w:r>
        <w:t xml:space="preserve">الاشتراكات</w:t>
      </w:r>
    </w:p>
    <w:p>
      <w:pPr>
        <w:pStyle w:val="Compact"/>
        <w:numPr>
          <w:ilvl w:val="0"/>
          <w:numId w:val="1010"/>
        </w:numPr>
      </w:pPr>
      <w:r>
        <w:t xml:space="preserve">الصناديق</w:t>
      </w:r>
    </w:p>
    <w:p>
      <w:pPr>
        <w:pStyle w:val="Compact"/>
        <w:numPr>
          <w:ilvl w:val="0"/>
          <w:numId w:val="1010"/>
        </w:numPr>
      </w:pPr>
      <w:r>
        <w:t xml:space="preserve">التحصيلات</w:t>
      </w:r>
    </w:p>
    <w:p>
      <w:pPr>
        <w:pStyle w:val="Compact"/>
        <w:numPr>
          <w:ilvl w:val="0"/>
          <w:numId w:val="1010"/>
        </w:numPr>
      </w:pPr>
      <w:r>
        <w:t xml:space="preserve">الحالات الطبية</w:t>
      </w:r>
    </w:p>
    <w:p>
      <w:pPr>
        <w:pStyle w:val="Compact"/>
        <w:numPr>
          <w:ilvl w:val="0"/>
          <w:numId w:val="1010"/>
        </w:numPr>
      </w:pPr>
      <w:r>
        <w:t xml:space="preserve">التقارير</w:t>
      </w:r>
    </w:p>
    <w:p>
      <w:pPr>
        <w:pStyle w:val="FirstParagraph"/>
      </w:pPr>
      <w:r>
        <w:t xml:space="preserve">وهذه هي بيانات ERP الأساسية.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الهدف-النهائي"/>
    <w:p>
      <w:pPr>
        <w:pStyle w:val="Heading1"/>
      </w:pPr>
      <w:r>
        <w:t xml:space="preserve">الهدف النهائي</w:t>
      </w:r>
    </w:p>
    <w:p>
      <w:pPr>
        <w:pStyle w:val="FirstParagraph"/>
      </w:pPr>
      <w:r>
        <w:t xml:space="preserve">إنشاء منصة مؤسسية قابلة للتوسع لعشرات السنين، وقادرة على إدارة جميع أعمال المؤسسة من خلال نظام موحد، مع ربط التطبيق والموقع وجميع الأنظمة الحالية والمستقبلية بها.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2026-07-14T23:24:56Z</dcterms:created>
  <dcterms:modified xsi:type="dcterms:W3CDTF">2026-07-14T23:24:56Z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