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mal-foundation-platform"/>
    <w:p>
      <w:pPr>
        <w:pStyle w:val="Heading1"/>
      </w:pPr>
      <w:r>
        <w:t xml:space="preserve">Amal Foundation Platform</w:t>
      </w:r>
    </w:p>
    <w:bookmarkStart w:id="20" w:name="identity-security-governance-module-v1"/>
    <w:p>
      <w:pPr>
        <w:pStyle w:val="Heading2"/>
      </w:pPr>
      <w:r>
        <w:t xml:space="preserve">Identity, Security &amp; Governance Module v1</w:t>
      </w:r>
    </w:p>
    <w:bookmarkEnd w:id="20"/>
    <w:bookmarkEnd w:id="21"/>
    <w:bookmarkStart w:id="22" w:name="الهدف"/>
    <w:p>
      <w:pPr>
        <w:pStyle w:val="Heading1"/>
      </w:pPr>
      <w:r>
        <w:t xml:space="preserve">الهدف</w:t>
      </w:r>
    </w:p>
    <w:p>
      <w:pPr>
        <w:pStyle w:val="FirstParagraph"/>
      </w:pPr>
      <w:r>
        <w:t xml:space="preserve">ضمان:</w:t>
      </w:r>
    </w:p>
    <w:p>
      <w:pPr>
        <w:pStyle w:val="Compact"/>
        <w:numPr>
          <w:ilvl w:val="0"/>
          <w:numId w:val="1001"/>
        </w:numPr>
      </w:pPr>
      <w:r>
        <w:t xml:space="preserve">أمن النظام</w:t>
      </w:r>
    </w:p>
    <w:p>
      <w:pPr>
        <w:pStyle w:val="Compact"/>
        <w:numPr>
          <w:ilvl w:val="0"/>
          <w:numId w:val="1001"/>
        </w:numPr>
      </w:pPr>
      <w:r>
        <w:t xml:space="preserve">حماية البيانات</w:t>
      </w:r>
    </w:p>
    <w:p>
      <w:pPr>
        <w:pStyle w:val="Compact"/>
        <w:numPr>
          <w:ilvl w:val="0"/>
          <w:numId w:val="1001"/>
        </w:numPr>
      </w:pPr>
      <w:r>
        <w:t xml:space="preserve">إدارة الصلاحيات</w:t>
      </w:r>
    </w:p>
    <w:p>
      <w:pPr>
        <w:pStyle w:val="Compact"/>
        <w:numPr>
          <w:ilvl w:val="0"/>
          <w:numId w:val="1001"/>
        </w:numPr>
      </w:pPr>
      <w:r>
        <w:t xml:space="preserve">تتبع العمليات</w:t>
      </w:r>
    </w:p>
    <w:p>
      <w:pPr>
        <w:pStyle w:val="Compact"/>
        <w:numPr>
          <w:ilvl w:val="0"/>
          <w:numId w:val="1001"/>
        </w:numPr>
      </w:pPr>
      <w:r>
        <w:t xml:space="preserve">حوكمة المؤسسة رقمياً</w:t>
      </w:r>
    </w:p>
    <w:p>
      <w:pPr>
        <w:pStyle w:val="FirstParagraph"/>
      </w:pPr>
      <w:r>
        <w:t xml:space="preserve">بحيث يصبح النظام قابلاً للإدارة والتوسع لسنوات طويلة.</w:t>
      </w:r>
    </w:p>
    <w:p>
      <w:r>
        <w:pict>
          <v:rect style="width:0;height:1.5pt" o:hralign="center" o:hrstd="t" o:hr="t"/>
        </w:pict>
      </w:r>
    </w:p>
    <w:bookmarkEnd w:id="22"/>
    <w:bookmarkStart w:id="24" w:name="identity-management"/>
    <w:p>
      <w:pPr>
        <w:pStyle w:val="Heading1"/>
      </w:pPr>
      <w:r>
        <w:t xml:space="preserve">Identity Management</w:t>
      </w:r>
    </w:p>
    <w:bookmarkStart w:id="23" w:name="إدارة-الهوية"/>
    <w:p>
      <w:pPr>
        <w:pStyle w:val="Heading2"/>
      </w:pPr>
      <w:r>
        <w:t xml:space="preserve">إدارة الهوية</w:t>
      </w:r>
    </w:p>
    <w:p>
      <w:pPr>
        <w:pStyle w:val="FirstParagraph"/>
      </w:pPr>
      <w:r>
        <w:t xml:space="preserve">كل شخص داخل النظام يمتلك هوية رقمية موحدة.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يمكن أن يكون:</w:t>
      </w:r>
    </w:p>
    <w:p>
      <w:pPr>
        <w:pStyle w:val="Compact"/>
        <w:numPr>
          <w:ilvl w:val="0"/>
          <w:numId w:val="1002"/>
        </w:numPr>
      </w:pPr>
      <w:r>
        <w:t xml:space="preserve">مستخدم تطبيق</w:t>
      </w:r>
    </w:p>
    <w:p>
      <w:pPr>
        <w:pStyle w:val="Compact"/>
        <w:numPr>
          <w:ilvl w:val="0"/>
          <w:numId w:val="1002"/>
        </w:numPr>
      </w:pPr>
      <w:r>
        <w:t xml:space="preserve">متبرع</w:t>
      </w:r>
    </w:p>
    <w:p>
      <w:pPr>
        <w:pStyle w:val="Compact"/>
        <w:numPr>
          <w:ilvl w:val="0"/>
          <w:numId w:val="1002"/>
        </w:numPr>
      </w:pPr>
      <w:r>
        <w:t xml:space="preserve">مشترك</w:t>
      </w:r>
    </w:p>
    <w:p>
      <w:pPr>
        <w:pStyle w:val="Compact"/>
        <w:numPr>
          <w:ilvl w:val="0"/>
          <w:numId w:val="1002"/>
        </w:numPr>
      </w:pPr>
      <w:r>
        <w:t xml:space="preserve">مستفيد</w:t>
      </w:r>
    </w:p>
    <w:p>
      <w:pPr>
        <w:pStyle w:val="Compact"/>
        <w:numPr>
          <w:ilvl w:val="0"/>
          <w:numId w:val="1002"/>
        </w:numPr>
      </w:pPr>
      <w:r>
        <w:t xml:space="preserve">محصل</w:t>
      </w:r>
    </w:p>
    <w:p>
      <w:pPr>
        <w:pStyle w:val="Compact"/>
        <w:numPr>
          <w:ilvl w:val="0"/>
          <w:numId w:val="1002"/>
        </w:numPr>
      </w:pPr>
      <w:r>
        <w:t xml:space="preserve">متطوع</w:t>
      </w:r>
    </w:p>
    <w:p>
      <w:pPr>
        <w:pStyle w:val="Compact"/>
        <w:numPr>
          <w:ilvl w:val="0"/>
          <w:numId w:val="1002"/>
        </w:numPr>
      </w:pPr>
      <w:r>
        <w:t xml:space="preserve">موظف</w:t>
      </w:r>
    </w:p>
    <w:p>
      <w:pPr>
        <w:pStyle w:val="Compact"/>
        <w:numPr>
          <w:ilvl w:val="0"/>
          <w:numId w:val="1002"/>
        </w:numPr>
      </w:pPr>
      <w:r>
        <w:t xml:space="preserve">مدير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لكن داخل النظام:</w:t>
      </w:r>
    </w:p>
    <w:p>
      <w:pPr>
        <w:pStyle w:val="BodyText"/>
      </w:pPr>
      <w:r>
        <w:t xml:space="preserve">Person واحد فقط.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authentication"/>
    <w:p>
      <w:pPr>
        <w:pStyle w:val="Heading1"/>
      </w:pPr>
      <w:r>
        <w:t xml:space="preserve">Authentication</w:t>
      </w:r>
    </w:p>
    <w:bookmarkStart w:id="25" w:name="تسجيل-الدخول"/>
    <w:p>
      <w:pPr>
        <w:pStyle w:val="Heading2"/>
      </w:pPr>
      <w:r>
        <w:t xml:space="preserve">تسجيل الدخول</w:t>
      </w:r>
    </w:p>
    <w:p>
      <w:pPr>
        <w:pStyle w:val="FirstParagraph"/>
      </w:pPr>
      <w:r>
        <w:t xml:space="preserve">طرق الدخول المدعومة:</w:t>
      </w:r>
    </w:p>
    <w:p>
      <w:pPr>
        <w:pStyle w:val="Compact"/>
        <w:numPr>
          <w:ilvl w:val="0"/>
          <w:numId w:val="1003"/>
        </w:numPr>
      </w:pPr>
      <w:r>
        <w:t xml:space="preserve">البريد الإلكتروني</w:t>
      </w:r>
    </w:p>
    <w:p>
      <w:pPr>
        <w:pStyle w:val="Compact"/>
        <w:numPr>
          <w:ilvl w:val="0"/>
          <w:numId w:val="1003"/>
        </w:numPr>
      </w:pPr>
      <w:r>
        <w:t xml:space="preserve">رقم الهاتف</w:t>
      </w:r>
    </w:p>
    <w:p>
      <w:pPr>
        <w:pStyle w:val="Compact"/>
        <w:numPr>
          <w:ilvl w:val="0"/>
          <w:numId w:val="1003"/>
        </w:numPr>
      </w:pPr>
      <w:r>
        <w:t xml:space="preserve">Google</w:t>
      </w:r>
    </w:p>
    <w:p>
      <w:pPr>
        <w:pStyle w:val="Compact"/>
        <w:numPr>
          <w:ilvl w:val="0"/>
          <w:numId w:val="1003"/>
        </w:numPr>
      </w:pPr>
      <w:r>
        <w:t xml:space="preserve">Apple</w:t>
      </w:r>
    </w:p>
    <w:p>
      <w:pPr>
        <w:pStyle w:val="Compact"/>
        <w:numPr>
          <w:ilvl w:val="0"/>
          <w:numId w:val="1003"/>
        </w:numPr>
      </w:pPr>
      <w:r>
        <w:t xml:space="preserve">Microsoft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مع إمكانية إضافة:</w:t>
      </w:r>
    </w:p>
    <w:p>
      <w:pPr>
        <w:pStyle w:val="Compact"/>
        <w:numPr>
          <w:ilvl w:val="0"/>
          <w:numId w:val="1004"/>
        </w:numPr>
      </w:pPr>
      <w:r>
        <w:t xml:space="preserve">OAuth Providers</w:t>
      </w:r>
    </w:p>
    <w:p>
      <w:pPr>
        <w:pStyle w:val="FirstParagraph"/>
      </w:pPr>
      <w:r>
        <w:t xml:space="preserve">مستقبلاً.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multi-factor-authentication"/>
    <w:p>
      <w:pPr>
        <w:pStyle w:val="Heading1"/>
      </w:pPr>
      <w:r>
        <w:t xml:space="preserve">Multi Factor Authentication</w:t>
      </w:r>
    </w:p>
    <w:bookmarkStart w:id="27" w:name="التحقق-الثنائي"/>
    <w:p>
      <w:pPr>
        <w:pStyle w:val="Heading2"/>
      </w:pPr>
      <w:r>
        <w:t xml:space="preserve">التحقق الثنائي</w:t>
      </w:r>
    </w:p>
    <w:p>
      <w:pPr>
        <w:pStyle w:val="FirstParagraph"/>
      </w:pPr>
      <w:r>
        <w:t xml:space="preserve">يمكن تفعيل:</w:t>
      </w:r>
    </w:p>
    <w:p>
      <w:pPr>
        <w:pStyle w:val="Compact"/>
        <w:numPr>
          <w:ilvl w:val="0"/>
          <w:numId w:val="1005"/>
        </w:numPr>
      </w:pPr>
      <w:r>
        <w:t xml:space="preserve">SMS OTP</w:t>
      </w:r>
    </w:p>
    <w:p>
      <w:pPr>
        <w:pStyle w:val="Compact"/>
        <w:numPr>
          <w:ilvl w:val="0"/>
          <w:numId w:val="1005"/>
        </w:numPr>
      </w:pPr>
      <w:r>
        <w:t xml:space="preserve">Email OTP</w:t>
      </w:r>
    </w:p>
    <w:p>
      <w:pPr>
        <w:pStyle w:val="Compact"/>
        <w:numPr>
          <w:ilvl w:val="0"/>
          <w:numId w:val="1005"/>
        </w:numPr>
      </w:pPr>
      <w:r>
        <w:t xml:space="preserve">Authenticator App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للحسابات الحساسة.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authorization"/>
    <w:p>
      <w:pPr>
        <w:pStyle w:val="Heading1"/>
      </w:pPr>
      <w:r>
        <w:t xml:space="preserve">Authorization</w:t>
      </w:r>
    </w:p>
    <w:bookmarkStart w:id="29" w:name="إدارة-الصلاحيات"/>
    <w:p>
      <w:pPr>
        <w:pStyle w:val="Heading2"/>
      </w:pPr>
      <w:r>
        <w:t xml:space="preserve">إدارة الصلاحيات</w:t>
      </w:r>
    </w:p>
    <w:p>
      <w:pPr>
        <w:pStyle w:val="FirstParagraph"/>
      </w:pPr>
      <w:r>
        <w:t xml:space="preserve">يعتمد النظام على:</w:t>
      </w:r>
    </w:p>
    <w:p>
      <w:pPr>
        <w:pStyle w:val="BodyText"/>
      </w:pPr>
      <w:r>
        <w:t xml:space="preserve">Role Based Access Control (RBAC)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الأدوار:</w:t>
      </w:r>
    </w:p>
    <w:p>
      <w:pPr>
        <w:pStyle w:val="Compact"/>
        <w:numPr>
          <w:ilvl w:val="0"/>
          <w:numId w:val="1006"/>
        </w:numPr>
      </w:pPr>
      <w:r>
        <w:t xml:space="preserve">مدير عام</w:t>
      </w:r>
    </w:p>
    <w:p>
      <w:pPr>
        <w:pStyle w:val="Compact"/>
        <w:numPr>
          <w:ilvl w:val="0"/>
          <w:numId w:val="1006"/>
        </w:numPr>
      </w:pPr>
      <w:r>
        <w:t xml:space="preserve">مدير مالي</w:t>
      </w:r>
    </w:p>
    <w:p>
      <w:pPr>
        <w:pStyle w:val="Compact"/>
        <w:numPr>
          <w:ilvl w:val="0"/>
          <w:numId w:val="1006"/>
        </w:numPr>
      </w:pPr>
      <w:r>
        <w:t xml:space="preserve">مدير طبي</w:t>
      </w:r>
    </w:p>
    <w:p>
      <w:pPr>
        <w:pStyle w:val="Compact"/>
        <w:numPr>
          <w:ilvl w:val="0"/>
          <w:numId w:val="1006"/>
        </w:numPr>
      </w:pPr>
      <w:r>
        <w:t xml:space="preserve">مدير محتوى</w:t>
      </w:r>
    </w:p>
    <w:p>
      <w:pPr>
        <w:pStyle w:val="Compact"/>
        <w:numPr>
          <w:ilvl w:val="0"/>
          <w:numId w:val="1006"/>
        </w:numPr>
      </w:pPr>
      <w:r>
        <w:t xml:space="preserve">مدير مشاريع</w:t>
      </w:r>
    </w:p>
    <w:p>
      <w:pPr>
        <w:pStyle w:val="Compact"/>
        <w:numPr>
          <w:ilvl w:val="0"/>
          <w:numId w:val="1006"/>
        </w:numPr>
      </w:pPr>
      <w:r>
        <w:t xml:space="preserve">مدير الصناديق</w:t>
      </w:r>
    </w:p>
    <w:p>
      <w:pPr>
        <w:pStyle w:val="Compact"/>
        <w:numPr>
          <w:ilvl w:val="0"/>
          <w:numId w:val="1006"/>
        </w:numPr>
      </w:pPr>
      <w:r>
        <w:t xml:space="preserve">محصل</w:t>
      </w:r>
    </w:p>
    <w:p>
      <w:pPr>
        <w:pStyle w:val="Compact"/>
        <w:numPr>
          <w:ilvl w:val="0"/>
          <w:numId w:val="1006"/>
        </w:numPr>
      </w:pPr>
      <w:r>
        <w:t xml:space="preserve">مراقب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لكل دور صلاحيات مستقلة.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permission-matrix"/>
    <w:p>
      <w:pPr>
        <w:pStyle w:val="Heading1"/>
      </w:pPr>
      <w:r>
        <w:t xml:space="preserve">Permission Matrix</w:t>
      </w:r>
    </w:p>
    <w:bookmarkStart w:id="31" w:name="مصفوفة-الصلاحيات"/>
    <w:p>
      <w:pPr>
        <w:pStyle w:val="Heading2"/>
      </w:pPr>
      <w:r>
        <w:t xml:space="preserve">مصفوفة الصلاحيات</w:t>
      </w:r>
    </w:p>
    <w:p>
      <w:pPr>
        <w:pStyle w:val="FirstParagraph"/>
      </w:pPr>
      <w:r>
        <w:t xml:space="preserve">لكل وحدة:</w:t>
      </w:r>
    </w:p>
    <w:p>
      <w:pPr>
        <w:pStyle w:val="Compact"/>
        <w:numPr>
          <w:ilvl w:val="0"/>
          <w:numId w:val="1007"/>
        </w:numPr>
      </w:pPr>
      <w:r>
        <w:t xml:space="preserve">عرض</w:t>
      </w:r>
    </w:p>
    <w:p>
      <w:pPr>
        <w:pStyle w:val="Compact"/>
        <w:numPr>
          <w:ilvl w:val="0"/>
          <w:numId w:val="1007"/>
        </w:numPr>
      </w:pPr>
      <w:r>
        <w:t xml:space="preserve">إنشاء</w:t>
      </w:r>
    </w:p>
    <w:p>
      <w:pPr>
        <w:pStyle w:val="Compact"/>
        <w:numPr>
          <w:ilvl w:val="0"/>
          <w:numId w:val="1007"/>
        </w:numPr>
      </w:pPr>
      <w:r>
        <w:t xml:space="preserve">تعديل</w:t>
      </w:r>
    </w:p>
    <w:p>
      <w:pPr>
        <w:pStyle w:val="Compact"/>
        <w:numPr>
          <w:ilvl w:val="0"/>
          <w:numId w:val="1007"/>
        </w:numPr>
      </w:pPr>
      <w:r>
        <w:t xml:space="preserve">حذف</w:t>
      </w:r>
    </w:p>
    <w:p>
      <w:pPr>
        <w:pStyle w:val="Compact"/>
        <w:numPr>
          <w:ilvl w:val="0"/>
          <w:numId w:val="1007"/>
        </w:numPr>
      </w:pPr>
      <w:r>
        <w:t xml:space="preserve">اعتماد</w:t>
      </w:r>
    </w:p>
    <w:p>
      <w:pPr>
        <w:pStyle w:val="Compact"/>
        <w:numPr>
          <w:ilvl w:val="0"/>
          <w:numId w:val="1007"/>
        </w:numPr>
      </w:pPr>
      <w:r>
        <w:t xml:space="preserve">تصدير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مثال:</w:t>
      </w:r>
    </w:p>
    <w:p>
      <w:pPr>
        <w:pStyle w:val="BodyText"/>
      </w:pPr>
      <w:r>
        <w:t xml:space="preserve">مدير الصناديق:</w:t>
      </w:r>
    </w:p>
    <w:p>
      <w:pPr>
        <w:pStyle w:val="BodyText"/>
      </w:pPr>
      <w:r>
        <w:t xml:space="preserve">✔ عرض الصناديق</w:t>
      </w:r>
    </w:p>
    <w:p>
      <w:pPr>
        <w:pStyle w:val="BodyText"/>
      </w:pPr>
      <w:r>
        <w:t xml:space="preserve">✔ تعديل الصناديق</w:t>
      </w:r>
    </w:p>
    <w:p>
      <w:pPr>
        <w:pStyle w:val="BodyText"/>
      </w:pPr>
      <w:r>
        <w:t xml:space="preserve">✔ تقارير الصناديق</w:t>
      </w:r>
    </w:p>
    <w:p>
      <w:pPr>
        <w:pStyle w:val="BodyText"/>
      </w:pPr>
      <w:r>
        <w:t xml:space="preserve">✖ لا يرى الملفات الطبية</w:t>
      </w:r>
    </w:p>
    <w:p>
      <w:pPr>
        <w:pStyle w:val="BodyText"/>
      </w:pPr>
      <w:r>
        <w:t xml:space="preserve">✖ لا يرى الحسابات المالية الحساسة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data-segmentation"/>
    <w:p>
      <w:pPr>
        <w:pStyle w:val="Heading1"/>
      </w:pPr>
      <w:r>
        <w:t xml:space="preserve">Data Segmentation</w:t>
      </w:r>
    </w:p>
    <w:bookmarkStart w:id="33" w:name="عزل-البيانات"/>
    <w:p>
      <w:pPr>
        <w:pStyle w:val="Heading2"/>
      </w:pPr>
      <w:r>
        <w:t xml:space="preserve">عزل البيانات</w:t>
      </w:r>
    </w:p>
    <w:p>
      <w:pPr>
        <w:pStyle w:val="FirstParagraph"/>
      </w:pPr>
      <w:r>
        <w:t xml:space="preserve">ليس كل مستخدم يرى كل البيانات.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مثال:</w:t>
      </w:r>
    </w:p>
    <w:p>
      <w:pPr>
        <w:pStyle w:val="BodyText"/>
      </w:pPr>
      <w:r>
        <w:t xml:space="preserve">المحصل يرى فقط الأشخاص المكلف بهم.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مدير المشروع يرى فقط مشروعه.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المدير العام يرى الجميع.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audit-logs"/>
    <w:p>
      <w:pPr>
        <w:pStyle w:val="Heading1"/>
      </w:pPr>
      <w:r>
        <w:t xml:space="preserve">Audit Logs</w:t>
      </w:r>
    </w:p>
    <w:bookmarkStart w:id="35" w:name="السجل-التاريخي"/>
    <w:p>
      <w:pPr>
        <w:pStyle w:val="Heading2"/>
      </w:pPr>
      <w:r>
        <w:t xml:space="preserve">السجل التاريخي</w:t>
      </w:r>
    </w:p>
    <w:p>
      <w:pPr>
        <w:pStyle w:val="FirstParagraph"/>
      </w:pPr>
      <w:r>
        <w:t xml:space="preserve">يسجل:</w:t>
      </w:r>
    </w:p>
    <w:p>
      <w:pPr>
        <w:pStyle w:val="Compact"/>
        <w:numPr>
          <w:ilvl w:val="0"/>
          <w:numId w:val="1008"/>
        </w:numPr>
      </w:pPr>
      <w:r>
        <w:t xml:space="preserve">تسجيل الدخول</w:t>
      </w:r>
    </w:p>
    <w:p>
      <w:pPr>
        <w:pStyle w:val="Compact"/>
        <w:numPr>
          <w:ilvl w:val="0"/>
          <w:numId w:val="1008"/>
        </w:numPr>
      </w:pPr>
      <w:r>
        <w:t xml:space="preserve">تعديل البيانات</w:t>
      </w:r>
    </w:p>
    <w:p>
      <w:pPr>
        <w:pStyle w:val="Compact"/>
        <w:numPr>
          <w:ilvl w:val="0"/>
          <w:numId w:val="1008"/>
        </w:numPr>
      </w:pPr>
      <w:r>
        <w:t xml:space="preserve">الحذف</w:t>
      </w:r>
    </w:p>
    <w:p>
      <w:pPr>
        <w:pStyle w:val="Compact"/>
        <w:numPr>
          <w:ilvl w:val="0"/>
          <w:numId w:val="1008"/>
        </w:numPr>
      </w:pPr>
      <w:r>
        <w:t xml:space="preserve">الاعتماد</w:t>
      </w:r>
    </w:p>
    <w:p>
      <w:pPr>
        <w:pStyle w:val="Compact"/>
        <w:numPr>
          <w:ilvl w:val="0"/>
          <w:numId w:val="1008"/>
        </w:numPr>
      </w:pPr>
      <w:r>
        <w:t xml:space="preserve">التصدير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لكل عملية:</w:t>
      </w:r>
    </w:p>
    <w:p>
      <w:pPr>
        <w:pStyle w:val="Compact"/>
        <w:numPr>
          <w:ilvl w:val="0"/>
          <w:numId w:val="1009"/>
        </w:numPr>
      </w:pPr>
      <w:r>
        <w:t xml:space="preserve">المستخدم</w:t>
      </w:r>
    </w:p>
    <w:p>
      <w:pPr>
        <w:pStyle w:val="Compact"/>
        <w:numPr>
          <w:ilvl w:val="0"/>
          <w:numId w:val="1009"/>
        </w:numPr>
      </w:pPr>
      <w:r>
        <w:t xml:space="preserve">الوقت</w:t>
      </w:r>
    </w:p>
    <w:p>
      <w:pPr>
        <w:pStyle w:val="Compact"/>
        <w:numPr>
          <w:ilvl w:val="0"/>
          <w:numId w:val="1009"/>
        </w:numPr>
      </w:pPr>
      <w:r>
        <w:t xml:space="preserve">الجهاز</w:t>
      </w:r>
    </w:p>
    <w:p>
      <w:pPr>
        <w:pStyle w:val="Compact"/>
        <w:numPr>
          <w:ilvl w:val="0"/>
          <w:numId w:val="1009"/>
        </w:numPr>
      </w:pPr>
      <w:r>
        <w:t xml:space="preserve">عنوان IP</w:t>
      </w:r>
    </w:p>
    <w:p>
      <w:pPr>
        <w:pStyle w:val="Compact"/>
        <w:numPr>
          <w:ilvl w:val="0"/>
          <w:numId w:val="1009"/>
        </w:numPr>
      </w:pPr>
      <w:r>
        <w:t xml:space="preserve">نوع العملية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approval-workflows"/>
    <w:p>
      <w:pPr>
        <w:pStyle w:val="Heading1"/>
      </w:pPr>
      <w:r>
        <w:t xml:space="preserve">Approval Workflows</w:t>
      </w:r>
    </w:p>
    <w:bookmarkStart w:id="37" w:name="دورات-الاعتماد"/>
    <w:p>
      <w:pPr>
        <w:pStyle w:val="Heading2"/>
      </w:pPr>
      <w:r>
        <w:t xml:space="preserve">دورات الاعتماد</w:t>
      </w:r>
    </w:p>
    <w:p>
      <w:pPr>
        <w:pStyle w:val="FirstParagraph"/>
      </w:pPr>
      <w:r>
        <w:t xml:space="preserve">بعض العمليات تحتاج موافقة.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أمثلة:</w:t>
      </w:r>
    </w:p>
    <w:p>
      <w:pPr>
        <w:pStyle w:val="Compact"/>
        <w:numPr>
          <w:ilvl w:val="0"/>
          <w:numId w:val="1010"/>
        </w:numPr>
      </w:pPr>
      <w:r>
        <w:t xml:space="preserve">صرف مالي</w:t>
      </w:r>
    </w:p>
    <w:p>
      <w:pPr>
        <w:pStyle w:val="Compact"/>
        <w:numPr>
          <w:ilvl w:val="0"/>
          <w:numId w:val="1010"/>
        </w:numPr>
      </w:pPr>
      <w:r>
        <w:t xml:space="preserve">اعتماد حملة</w:t>
      </w:r>
    </w:p>
    <w:p>
      <w:pPr>
        <w:pStyle w:val="Compact"/>
        <w:numPr>
          <w:ilvl w:val="0"/>
          <w:numId w:val="1010"/>
        </w:numPr>
      </w:pPr>
      <w:r>
        <w:t xml:space="preserve">اعتماد مشروع</w:t>
      </w:r>
    </w:p>
    <w:p>
      <w:pPr>
        <w:pStyle w:val="Compact"/>
        <w:numPr>
          <w:ilvl w:val="0"/>
          <w:numId w:val="1010"/>
        </w:numPr>
      </w:pPr>
      <w:r>
        <w:t xml:space="preserve">اعتماد حالة طبية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يمكن تعريف:</w:t>
      </w:r>
    </w:p>
    <w:p>
      <w:pPr>
        <w:pStyle w:val="Compact"/>
        <w:numPr>
          <w:ilvl w:val="0"/>
          <w:numId w:val="1011"/>
        </w:numPr>
      </w:pPr>
      <w:r>
        <w:t xml:space="preserve">طالب العملية</w:t>
      </w:r>
    </w:p>
    <w:p>
      <w:pPr>
        <w:pStyle w:val="Compact"/>
        <w:numPr>
          <w:ilvl w:val="0"/>
          <w:numId w:val="1011"/>
        </w:numPr>
      </w:pPr>
      <w:r>
        <w:t xml:space="preserve">المراجع</w:t>
      </w:r>
    </w:p>
    <w:p>
      <w:pPr>
        <w:pStyle w:val="Compact"/>
        <w:numPr>
          <w:ilvl w:val="0"/>
          <w:numId w:val="1011"/>
        </w:numPr>
      </w:pPr>
      <w:r>
        <w:t xml:space="preserve">المعتمد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governance-policies"/>
    <w:p>
      <w:pPr>
        <w:pStyle w:val="Heading1"/>
      </w:pPr>
      <w:r>
        <w:t xml:space="preserve">Governance Policies</w:t>
      </w:r>
    </w:p>
    <w:bookmarkStart w:id="39" w:name="سياسات-الحوكمة"/>
    <w:p>
      <w:pPr>
        <w:pStyle w:val="Heading2"/>
      </w:pPr>
      <w:r>
        <w:t xml:space="preserve">سياسات الحوكمة</w:t>
      </w:r>
    </w:p>
    <w:p>
      <w:pPr>
        <w:pStyle w:val="FirstParagraph"/>
      </w:pPr>
      <w:r>
        <w:t xml:space="preserve">يجب أن يدعم النظام:</w:t>
      </w:r>
    </w:p>
    <w:p>
      <w:pPr>
        <w:pStyle w:val="Compact"/>
        <w:numPr>
          <w:ilvl w:val="0"/>
          <w:numId w:val="1012"/>
        </w:numPr>
      </w:pPr>
      <w:r>
        <w:t xml:space="preserve">الفصل بين الصلاحيات</w:t>
      </w:r>
    </w:p>
    <w:p>
      <w:pPr>
        <w:pStyle w:val="Compact"/>
        <w:numPr>
          <w:ilvl w:val="0"/>
          <w:numId w:val="1012"/>
        </w:numPr>
      </w:pPr>
      <w:r>
        <w:t xml:space="preserve">التسلسل الإداري</w:t>
      </w:r>
    </w:p>
    <w:p>
      <w:pPr>
        <w:pStyle w:val="Compact"/>
        <w:numPr>
          <w:ilvl w:val="0"/>
          <w:numId w:val="1012"/>
        </w:numPr>
      </w:pPr>
      <w:r>
        <w:t xml:space="preserve">تتبع القرارات</w:t>
      </w:r>
    </w:p>
    <w:p>
      <w:pPr>
        <w:pStyle w:val="Compact"/>
        <w:numPr>
          <w:ilvl w:val="0"/>
          <w:numId w:val="1012"/>
        </w:numPr>
      </w:pPr>
      <w:r>
        <w:t xml:space="preserve">توثيق الموافقات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security-monitoring"/>
    <w:p>
      <w:pPr>
        <w:pStyle w:val="Heading1"/>
      </w:pPr>
      <w:r>
        <w:t xml:space="preserve">Security Monitoring</w:t>
      </w:r>
    </w:p>
    <w:bookmarkStart w:id="41" w:name="مراقبة-الأمن"/>
    <w:p>
      <w:pPr>
        <w:pStyle w:val="Heading2"/>
      </w:pPr>
      <w:r>
        <w:t xml:space="preserve">مراقبة الأمن</w:t>
      </w:r>
    </w:p>
    <w:p>
      <w:pPr>
        <w:pStyle w:val="FirstParagraph"/>
      </w:pPr>
      <w:r>
        <w:t xml:space="preserve">كشف:</w:t>
      </w:r>
    </w:p>
    <w:p>
      <w:pPr>
        <w:pStyle w:val="Compact"/>
        <w:numPr>
          <w:ilvl w:val="0"/>
          <w:numId w:val="1013"/>
        </w:numPr>
      </w:pPr>
      <w:r>
        <w:t xml:space="preserve">محاولات الدخول الفاشلة</w:t>
      </w:r>
    </w:p>
    <w:p>
      <w:pPr>
        <w:pStyle w:val="Compact"/>
        <w:numPr>
          <w:ilvl w:val="0"/>
          <w:numId w:val="1013"/>
        </w:numPr>
      </w:pPr>
      <w:r>
        <w:t xml:space="preserve">الأنشطة المشبوهة</w:t>
      </w:r>
    </w:p>
    <w:p>
      <w:pPr>
        <w:pStyle w:val="Compact"/>
        <w:numPr>
          <w:ilvl w:val="0"/>
          <w:numId w:val="1013"/>
        </w:numPr>
      </w:pPr>
      <w:r>
        <w:t xml:space="preserve">التعديلات الحساسة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مع تنبيهات فورية.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session-management"/>
    <w:p>
      <w:pPr>
        <w:pStyle w:val="Heading1"/>
      </w:pPr>
      <w:r>
        <w:t xml:space="preserve">Session Management</w:t>
      </w:r>
    </w:p>
    <w:bookmarkStart w:id="43" w:name="إدارة-الجلسات"/>
    <w:p>
      <w:pPr>
        <w:pStyle w:val="Heading2"/>
      </w:pPr>
      <w:r>
        <w:t xml:space="preserve">إدارة الجلسات</w:t>
      </w:r>
    </w:p>
    <w:p>
      <w:pPr>
        <w:pStyle w:val="FirstParagraph"/>
      </w:pPr>
      <w:r>
        <w:t xml:space="preserve">عرض:</w:t>
      </w:r>
    </w:p>
    <w:p>
      <w:pPr>
        <w:pStyle w:val="Compact"/>
        <w:numPr>
          <w:ilvl w:val="0"/>
          <w:numId w:val="1014"/>
        </w:numPr>
      </w:pPr>
      <w:r>
        <w:t xml:space="preserve">الأجهزة المسجلة</w:t>
      </w:r>
    </w:p>
    <w:p>
      <w:pPr>
        <w:pStyle w:val="Compact"/>
        <w:numPr>
          <w:ilvl w:val="0"/>
          <w:numId w:val="1014"/>
        </w:numPr>
      </w:pPr>
      <w:r>
        <w:t xml:space="preserve">الجلسات النشطة</w:t>
      </w:r>
    </w:p>
    <w:p>
      <w:pPr>
        <w:pStyle w:val="Compact"/>
        <w:numPr>
          <w:ilvl w:val="0"/>
          <w:numId w:val="1014"/>
        </w:numPr>
      </w:pPr>
      <w:r>
        <w:t xml:space="preserve">آخر تسجيل دخول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مع إمكانية:</w:t>
      </w:r>
    </w:p>
    <w:p>
      <w:pPr>
        <w:pStyle w:val="Compact"/>
        <w:numPr>
          <w:ilvl w:val="0"/>
          <w:numId w:val="1015"/>
        </w:numPr>
      </w:pPr>
      <w:r>
        <w:t xml:space="preserve">تسجيل الخروج الإجباري</w:t>
      </w:r>
    </w:p>
    <w:p>
      <w:pPr>
        <w:pStyle w:val="Compact"/>
        <w:numPr>
          <w:ilvl w:val="0"/>
          <w:numId w:val="1015"/>
        </w:numPr>
      </w:pPr>
      <w:r>
        <w:t xml:space="preserve">إلغاء الجلسات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backup-governance"/>
    <w:p>
      <w:pPr>
        <w:pStyle w:val="Heading1"/>
      </w:pPr>
      <w:r>
        <w:t xml:space="preserve">Backup Governance</w:t>
      </w:r>
    </w:p>
    <w:bookmarkStart w:id="45" w:name="حوكمة-النسخ-الاحتياطية"/>
    <w:p>
      <w:pPr>
        <w:pStyle w:val="Heading2"/>
      </w:pPr>
      <w:r>
        <w:t xml:space="preserve">حوكمة النسخ الاحتياطية</w:t>
      </w:r>
    </w:p>
    <w:p>
      <w:pPr>
        <w:pStyle w:val="FirstParagraph"/>
      </w:pPr>
      <w:r>
        <w:t xml:space="preserve">نسخ:</w:t>
      </w:r>
    </w:p>
    <w:p>
      <w:pPr>
        <w:pStyle w:val="Compact"/>
        <w:numPr>
          <w:ilvl w:val="0"/>
          <w:numId w:val="1016"/>
        </w:numPr>
      </w:pPr>
      <w:r>
        <w:t xml:space="preserve">يومية</w:t>
      </w:r>
    </w:p>
    <w:p>
      <w:pPr>
        <w:pStyle w:val="Compact"/>
        <w:numPr>
          <w:ilvl w:val="0"/>
          <w:numId w:val="1016"/>
        </w:numPr>
      </w:pPr>
      <w:r>
        <w:t xml:space="preserve">أسبوعية</w:t>
      </w:r>
    </w:p>
    <w:p>
      <w:pPr>
        <w:pStyle w:val="Compact"/>
        <w:numPr>
          <w:ilvl w:val="0"/>
          <w:numId w:val="1016"/>
        </w:numPr>
      </w:pPr>
      <w:r>
        <w:t xml:space="preserve">شهرية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مع اختبارات استرجاع دورية.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privacy-controls"/>
    <w:p>
      <w:pPr>
        <w:pStyle w:val="Heading1"/>
      </w:pPr>
      <w:r>
        <w:t xml:space="preserve">Privacy Controls</w:t>
      </w:r>
    </w:p>
    <w:bookmarkStart w:id="47" w:name="الخصوصية"/>
    <w:p>
      <w:pPr>
        <w:pStyle w:val="Heading2"/>
      </w:pPr>
      <w:r>
        <w:t xml:space="preserve">الخصوصية</w:t>
      </w:r>
    </w:p>
    <w:p>
      <w:pPr>
        <w:pStyle w:val="FirstParagraph"/>
      </w:pPr>
      <w:r>
        <w:t xml:space="preserve">تصنيف البيانات إلى:</w:t>
      </w:r>
    </w:p>
    <w:p>
      <w:pPr>
        <w:pStyle w:val="Compact"/>
        <w:numPr>
          <w:ilvl w:val="0"/>
          <w:numId w:val="1017"/>
        </w:numPr>
      </w:pPr>
      <w:r>
        <w:t xml:space="preserve">عامة</w:t>
      </w:r>
    </w:p>
    <w:p>
      <w:pPr>
        <w:pStyle w:val="Compact"/>
        <w:numPr>
          <w:ilvl w:val="0"/>
          <w:numId w:val="1017"/>
        </w:numPr>
      </w:pPr>
      <w:r>
        <w:t xml:space="preserve">داخلية</w:t>
      </w:r>
    </w:p>
    <w:p>
      <w:pPr>
        <w:pStyle w:val="Compact"/>
        <w:numPr>
          <w:ilvl w:val="0"/>
          <w:numId w:val="1017"/>
        </w:numPr>
      </w:pPr>
      <w:r>
        <w:t xml:space="preserve">سرية</w:t>
      </w:r>
    </w:p>
    <w:p>
      <w:pPr>
        <w:pStyle w:val="Compact"/>
        <w:numPr>
          <w:ilvl w:val="0"/>
          <w:numId w:val="1017"/>
        </w:numPr>
      </w:pPr>
      <w:r>
        <w:t xml:space="preserve">شديدة السرية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مثال:</w:t>
      </w:r>
    </w:p>
    <w:p>
      <w:pPr>
        <w:pStyle w:val="BodyText"/>
      </w:pPr>
      <w:r>
        <w:t xml:space="preserve">التقارير الطبية</w:t>
      </w:r>
    </w:p>
    <w:p>
      <w:pPr>
        <w:pStyle w:val="BodyText"/>
      </w:pPr>
      <w:r>
        <w:t xml:space="preserve">تصنف:</w:t>
      </w:r>
    </w:p>
    <w:p>
      <w:pPr>
        <w:pStyle w:val="BodyText"/>
      </w:pPr>
      <w:r>
        <w:t xml:space="preserve">شديدة السرية.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executive-governance-dashboard"/>
    <w:p>
      <w:pPr>
        <w:pStyle w:val="Heading1"/>
      </w:pPr>
      <w:r>
        <w:t xml:space="preserve">Executive Governance Dashboard</w:t>
      </w:r>
    </w:p>
    <w:bookmarkStart w:id="49" w:name="لوحة-الحوكمة"/>
    <w:p>
      <w:pPr>
        <w:pStyle w:val="Heading2"/>
      </w:pPr>
      <w:r>
        <w:t xml:space="preserve">لوحة الحوكمة</w:t>
      </w:r>
    </w:p>
    <w:p>
      <w:pPr>
        <w:pStyle w:val="FirstParagraph"/>
      </w:pPr>
      <w:r>
        <w:t xml:space="preserve">تعرض:</w:t>
      </w:r>
    </w:p>
    <w:p>
      <w:pPr>
        <w:pStyle w:val="Compact"/>
        <w:numPr>
          <w:ilvl w:val="0"/>
          <w:numId w:val="1018"/>
        </w:numPr>
      </w:pPr>
      <w:r>
        <w:t xml:space="preserve">المستخدمين النشطين</w:t>
      </w:r>
    </w:p>
    <w:p>
      <w:pPr>
        <w:pStyle w:val="Compact"/>
        <w:numPr>
          <w:ilvl w:val="0"/>
          <w:numId w:val="1018"/>
        </w:numPr>
      </w:pPr>
      <w:r>
        <w:t xml:space="preserve">الصلاحيات</w:t>
      </w:r>
    </w:p>
    <w:p>
      <w:pPr>
        <w:pStyle w:val="Compact"/>
        <w:numPr>
          <w:ilvl w:val="0"/>
          <w:numId w:val="1018"/>
        </w:numPr>
      </w:pPr>
      <w:r>
        <w:t xml:space="preserve">العمليات الحساسة</w:t>
      </w:r>
    </w:p>
    <w:p>
      <w:pPr>
        <w:pStyle w:val="Compact"/>
        <w:numPr>
          <w:ilvl w:val="0"/>
          <w:numId w:val="1018"/>
        </w:numPr>
      </w:pPr>
      <w:r>
        <w:t xml:space="preserve">التنبيهات الأمنية</w:t>
      </w:r>
    </w:p>
    <w:p>
      <w:pPr>
        <w:pStyle w:val="Compact"/>
        <w:numPr>
          <w:ilvl w:val="0"/>
          <w:numId w:val="1018"/>
        </w:numPr>
      </w:pPr>
      <w:r>
        <w:t xml:space="preserve">طلبات الاعتماد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النتيجة-النهائية"/>
    <w:p>
      <w:pPr>
        <w:pStyle w:val="Heading1"/>
      </w:pPr>
      <w:r>
        <w:t xml:space="preserve">النتيجة النهائية</w:t>
      </w:r>
    </w:p>
    <w:p>
      <w:pPr>
        <w:pStyle w:val="FirstParagraph"/>
      </w:pPr>
      <w:r>
        <w:t xml:space="preserve">لا يصبح النظام مجرد منصة تشغيل.</w:t>
      </w:r>
    </w:p>
    <w:p>
      <w:pPr>
        <w:pStyle w:val="BodyText"/>
      </w:pPr>
      <w:r>
        <w:t xml:space="preserve">بل منصة مؤسسية محكومة وآمنة.</w:t>
      </w:r>
    </w:p>
    <w:p>
      <w:pPr>
        <w:pStyle w:val="BodyText"/>
      </w:pPr>
      <w:r>
        <w:t xml:space="preserve">يمكن الوثوق ببياناتها وقراراتها وتقاريرها حتى مع توسع المؤسسة لسنوات طويلة.</w:t>
      </w:r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2026-07-14T23:53:20Z</dcterms:created>
  <dcterms:modified xsi:type="dcterms:W3CDTF">2026-07-14T23:53:20Z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