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1e4209fd5c00fca4d32475f79d617b2357b7d11"/>
    <w:p>
      <w:pPr>
        <w:pStyle w:val="Heading2"/>
      </w:pPr>
      <w:r>
        <w:t xml:space="preserve">Boxes &amp; Collections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1"/>
        </w:numPr>
      </w:pPr>
      <w:r>
        <w:t xml:space="preserve">الصناديق</w:t>
      </w:r>
    </w:p>
    <w:p>
      <w:pPr>
        <w:pStyle w:val="Compact"/>
        <w:numPr>
          <w:ilvl w:val="0"/>
          <w:numId w:val="1001"/>
        </w:numPr>
      </w:pPr>
      <w:r>
        <w:t xml:space="preserve">المحصلين</w:t>
      </w:r>
    </w:p>
    <w:p>
      <w:pPr>
        <w:pStyle w:val="Compact"/>
        <w:numPr>
          <w:ilvl w:val="0"/>
          <w:numId w:val="1001"/>
        </w:numPr>
      </w:pPr>
      <w:r>
        <w:t xml:space="preserve">التحصيلات</w:t>
      </w:r>
    </w:p>
    <w:p>
      <w:pPr>
        <w:pStyle w:val="Compact"/>
        <w:numPr>
          <w:ilvl w:val="0"/>
          <w:numId w:val="1001"/>
        </w:numPr>
      </w:pPr>
      <w:r>
        <w:t xml:space="preserve">المناطق</w:t>
      </w:r>
    </w:p>
    <w:p>
      <w:pPr>
        <w:pStyle w:val="Compact"/>
        <w:numPr>
          <w:ilvl w:val="0"/>
          <w:numId w:val="1001"/>
        </w:numPr>
      </w:pPr>
      <w:r>
        <w:t xml:space="preserve">التحويلات المالية</w:t>
      </w:r>
    </w:p>
    <w:p>
      <w:pPr>
        <w:pStyle w:val="FirstParagraph"/>
      </w:pPr>
      <w:r>
        <w:t xml:space="preserve">من خلال النظام المركزي.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الصندوق ليس مجرد صندوق.</w:t>
      </w:r>
    </w:p>
    <w:p>
      <w:pPr>
        <w:pStyle w:val="BodyText"/>
      </w:pPr>
      <w:r>
        <w:t xml:space="preserve">الصندوق يمثل نقطة تحصيل 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صندوق يمتلك:</w:t>
      </w:r>
    </w:p>
    <w:p>
      <w:pPr>
        <w:pStyle w:val="Compact"/>
        <w:numPr>
          <w:ilvl w:val="0"/>
          <w:numId w:val="1002"/>
        </w:numPr>
      </w:pPr>
      <w:r>
        <w:t xml:space="preserve">مالك</w:t>
      </w:r>
    </w:p>
    <w:p>
      <w:pPr>
        <w:pStyle w:val="Compact"/>
        <w:numPr>
          <w:ilvl w:val="0"/>
          <w:numId w:val="1002"/>
        </w:numPr>
      </w:pPr>
      <w:r>
        <w:t xml:space="preserve">موقع</w:t>
      </w:r>
    </w:p>
    <w:p>
      <w:pPr>
        <w:pStyle w:val="Compact"/>
        <w:numPr>
          <w:ilvl w:val="0"/>
          <w:numId w:val="1002"/>
        </w:numPr>
      </w:pPr>
      <w:r>
        <w:t xml:space="preserve">محصل</w:t>
      </w:r>
    </w:p>
    <w:p>
      <w:pPr>
        <w:pStyle w:val="Compact"/>
        <w:numPr>
          <w:ilvl w:val="0"/>
          <w:numId w:val="1002"/>
        </w:numPr>
      </w:pPr>
      <w:r>
        <w:t xml:space="preserve">سجل تحصيل</w:t>
      </w:r>
    </w:p>
    <w:p>
      <w:pPr>
        <w:pStyle w:val="Compact"/>
        <w:numPr>
          <w:ilvl w:val="0"/>
          <w:numId w:val="1002"/>
        </w:numPr>
      </w:pPr>
      <w:r>
        <w:t xml:space="preserve">حالة</w:t>
      </w:r>
    </w:p>
    <w:p>
      <w:r>
        <w:pict>
          <v:rect style="width:0;height:1.5pt" o:hralign="center" o:hrstd="t" o:hr="t"/>
        </w:pict>
      </w:r>
    </w:p>
    <w:bookmarkEnd w:id="23"/>
    <w:bookmarkStart w:id="25" w:name="box-management"/>
    <w:p>
      <w:pPr>
        <w:pStyle w:val="Heading1"/>
      </w:pPr>
      <w:r>
        <w:t xml:space="preserve">Box Management</w:t>
      </w:r>
    </w:p>
    <w:bookmarkStart w:id="24" w:name="إدارة-الصناديق"/>
    <w:p>
      <w:pPr>
        <w:pStyle w:val="Heading2"/>
      </w:pPr>
      <w:r>
        <w:t xml:space="preserve">إدارة 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صندوق:</w:t>
      </w:r>
    </w:p>
    <w:p>
      <w:pPr>
        <w:pStyle w:val="BodyText"/>
      </w:pPr>
      <w:r>
        <w:t xml:space="preserve">Box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صاحب الصندوق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الهاتف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المحافظة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المدينة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المنطقة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العنوان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الإنشاء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box-status"/>
    <w:p>
      <w:pPr>
        <w:pStyle w:val="Heading1"/>
      </w:pPr>
      <w:r>
        <w:t xml:space="preserve">Box Status</w:t>
      </w:r>
    </w:p>
    <w:bookmarkStart w:id="26" w:name="حالة-الصندوق"/>
    <w:p>
      <w:pPr>
        <w:pStyle w:val="Heading2"/>
      </w:pPr>
      <w:r>
        <w:t xml:space="preserve">حالة الصندوق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نشط</w:t>
      </w:r>
    </w:p>
    <w:p>
      <w:pPr>
        <w:pStyle w:val="BodyText"/>
      </w:pP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متوقف</w:t>
      </w:r>
    </w:p>
    <w:p>
      <w:pPr>
        <w:pStyle w:val="BodyText"/>
      </w:pPr>
      <w:r>
        <w:t xml:space="preserve">Inactive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مفقود</w:t>
      </w:r>
    </w:p>
    <w:p>
      <w:pPr>
        <w:pStyle w:val="BodyText"/>
      </w:pPr>
      <w:r>
        <w:t xml:space="preserve">Lost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ملغى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تحت الصيانة</w:t>
      </w:r>
    </w:p>
    <w:p>
      <w:pPr>
        <w:pStyle w:val="BodyText"/>
      </w:pPr>
      <w:r>
        <w:t xml:space="preserve">Maintenance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ollector-management"/>
    <w:p>
      <w:pPr>
        <w:pStyle w:val="Heading1"/>
      </w:pPr>
      <w:r>
        <w:t xml:space="preserve">Collector Management</w:t>
      </w:r>
    </w:p>
    <w:bookmarkStart w:id="28" w:name="إدارة-المحصلين"/>
    <w:p>
      <w:pPr>
        <w:pStyle w:val="Heading2"/>
      </w:pPr>
      <w:r>
        <w:t xml:space="preserve">إدارة المحصلين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محصل:</w:t>
      </w:r>
    </w:p>
    <w:p>
      <w:pPr>
        <w:pStyle w:val="BodyText"/>
      </w:pPr>
      <w:r>
        <w:t xml:space="preserve">Collector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الهاتف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المنطقة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الصناديق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llector-permissions"/>
    <w:p>
      <w:pPr>
        <w:pStyle w:val="Heading1"/>
      </w:pPr>
      <w:r>
        <w:t xml:space="preserve">Collector Permissions</w:t>
      </w:r>
    </w:p>
    <w:bookmarkStart w:id="30" w:name="صلاحيات-المحصل"/>
    <w:p>
      <w:pPr>
        <w:pStyle w:val="Heading2"/>
      </w:pPr>
      <w:r>
        <w:t xml:space="preserve">صلاحيات المحصل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رؤية الصناديق المكلف بها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التحصيلات.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السجل الخاص به.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عدم الوصول للبيانات المالية العامة.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ssignment-system"/>
    <w:p>
      <w:pPr>
        <w:pStyle w:val="Heading1"/>
      </w:pPr>
      <w:r>
        <w:t xml:space="preserve">Assignment System</w:t>
      </w:r>
    </w:p>
    <w:bookmarkStart w:id="32" w:name="ربط-الصناديق-بالمحصلين"/>
    <w:p>
      <w:pPr>
        <w:pStyle w:val="Heading2"/>
      </w:pPr>
      <w:r>
        <w:t xml:space="preserve">ربط الصناديق بالمحصلين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يمكن:</w:t>
      </w:r>
    </w:p>
    <w:p>
      <w:pPr>
        <w:pStyle w:val="BodyText"/>
      </w:pPr>
      <w:r>
        <w:t xml:space="preserve">ربط صندوق واحد بمحصل.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</w:t>
      </w:r>
    </w:p>
    <w:p>
      <w:pPr>
        <w:pStyle w:val="BodyText"/>
      </w:pPr>
      <w:r>
        <w:t xml:space="preserve">ربط مجموعة صناديق بمحصل.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إمكانية النقل بين المحصلين.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llection-cycle"/>
    <w:p>
      <w:pPr>
        <w:pStyle w:val="Heading1"/>
      </w:pPr>
      <w:r>
        <w:t xml:space="preserve">Collection Cycle</w:t>
      </w:r>
    </w:p>
    <w:bookmarkStart w:id="34" w:name="دورة-التحصيل"/>
    <w:p>
      <w:pPr>
        <w:pStyle w:val="Heading2"/>
      </w:pPr>
      <w:r>
        <w:t xml:space="preserve">دورة التحصيل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الصندوق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زيارة المحصل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عد الأموال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إدخال المبلغ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حفظ محلي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مزامنة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تسجيل بالنظام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offline-mode"/>
    <w:p>
      <w:pPr>
        <w:pStyle w:val="Heading1"/>
      </w:pPr>
      <w:r>
        <w:t xml:space="preserve">Offline Mode</w:t>
      </w:r>
    </w:p>
    <w:bookmarkStart w:id="36" w:name="العمل-بدون-إنترنت"/>
    <w:p>
      <w:pPr>
        <w:pStyle w:val="Heading2"/>
      </w:pPr>
      <w:r>
        <w:t xml:space="preserve">العمل بدون إنترنت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وهي نقطة مهمة جداً حسب تصميمك الحالي.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التطبيق يجب أن يسمح للمحصل:</w:t>
      </w:r>
    </w:p>
    <w:p>
      <w:pPr>
        <w:pStyle w:val="BodyText"/>
      </w:pPr>
      <w:r>
        <w:t xml:space="preserve">بتسجيل التحصيلات دون إنترنت.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ثم:</w:t>
      </w:r>
    </w:p>
    <w:p>
      <w:pPr>
        <w:pStyle w:val="BodyText"/>
      </w:pPr>
      <w:r>
        <w:t xml:space="preserve">تتم المزامنة لاحقاً.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منع التكرار.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llection-record"/>
    <w:p>
      <w:pPr>
        <w:pStyle w:val="Heading1"/>
      </w:pPr>
      <w:r>
        <w:t xml:space="preserve">Collection Record</w:t>
      </w:r>
    </w:p>
    <w:bookmarkStart w:id="38" w:name="سجل-التحصيل"/>
    <w:p>
      <w:pPr>
        <w:pStyle w:val="Heading2"/>
      </w:pPr>
      <w:r>
        <w:t xml:space="preserve">سجل التحصيل</w:t>
      </w:r>
    </w:p>
    <w:p>
      <w:pPr>
        <w:pStyle w:val="FirstParagraph"/>
      </w:pPr>
      <w:r>
        <w:t xml:space="preserve">كل عملية تحتوي:</w:t>
      </w:r>
    </w:p>
    <w:p>
      <w:pPr>
        <w:pStyle w:val="BodyText"/>
      </w:pPr>
      <w:r>
        <w:t xml:space="preserve">Collection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المحصل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التاريخ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وقت الإدخال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وقت المزامنة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ollection-status"/>
    <w:p>
      <w:pPr>
        <w:pStyle w:val="Heading1"/>
      </w:pPr>
      <w:r>
        <w:t xml:space="preserve">Collection Status</w:t>
      </w:r>
    </w:p>
    <w:bookmarkStart w:id="40" w:name="حالة-التحصيل"/>
    <w:p>
      <w:pPr>
        <w:pStyle w:val="Heading2"/>
      </w:pPr>
      <w:r>
        <w:t xml:space="preserve">حالة التحصيل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محلي فقط</w:t>
      </w:r>
    </w:p>
    <w:p>
      <w:pPr>
        <w:pStyle w:val="BodyText"/>
      </w:pPr>
      <w:r>
        <w:t xml:space="preserve">Pending Sync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تمت المزامنة</w:t>
      </w:r>
    </w:p>
    <w:p>
      <w:pPr>
        <w:pStyle w:val="BodyText"/>
      </w:pPr>
      <w:r>
        <w:t xml:space="preserve">Synced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المراجعة</w:t>
      </w:r>
    </w:p>
    <w:p>
      <w:pPr>
        <w:pStyle w:val="BodyText"/>
      </w:pPr>
      <w:r>
        <w:t xml:space="preserve">Under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معتمد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مرفوض</w:t>
      </w:r>
    </w:p>
    <w:p>
      <w:pPr>
        <w:pStyle w:val="BodyText"/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onthly-tracking"/>
    <w:p>
      <w:pPr>
        <w:pStyle w:val="Heading1"/>
      </w:pPr>
      <w:r>
        <w:t xml:space="preserve">Monthly Tracking</w:t>
      </w:r>
    </w:p>
    <w:bookmarkStart w:id="42" w:name="التتبع-الشهري"/>
    <w:p>
      <w:pPr>
        <w:pStyle w:val="Heading2"/>
      </w:pPr>
      <w:r>
        <w:t xml:space="preserve">التتبع الشهري</w:t>
      </w:r>
    </w:p>
    <w:p>
      <w:pPr>
        <w:pStyle w:val="FirstParagraph"/>
      </w:pPr>
      <w:r>
        <w:t xml:space="preserve">لكل صندوق:</w:t>
      </w:r>
    </w:p>
    <w:p>
      <w:pPr>
        <w:pStyle w:val="BodyText"/>
      </w:pPr>
      <w:r>
        <w:t xml:space="preserve">يناير</w:t>
      </w:r>
    </w:p>
    <w:p>
      <w:pPr>
        <w:pStyle w:val="BodyText"/>
      </w:pPr>
      <w:r>
        <w:t xml:space="preserve">فبراير</w:t>
      </w:r>
    </w:p>
    <w:p>
      <w:pPr>
        <w:pStyle w:val="BodyText"/>
      </w:pPr>
      <w:r>
        <w:t xml:space="preserve">مارس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ديسمبر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معرفة:</w:t>
      </w:r>
    </w:p>
    <w:p>
      <w:pPr>
        <w:pStyle w:val="BodyText"/>
      </w:pPr>
      <w:r>
        <w:t xml:space="preserve">هل تم التحصيل أم لا.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missed-collections"/>
    <w:p>
      <w:pPr>
        <w:pStyle w:val="Heading1"/>
      </w:pPr>
      <w:r>
        <w:t xml:space="preserve">Missed Collections</w:t>
      </w:r>
    </w:p>
    <w:bookmarkStart w:id="44" w:name="التحصيلات-الفائتة"/>
    <w:p>
      <w:pPr>
        <w:pStyle w:val="Heading2"/>
      </w:pPr>
      <w:r>
        <w:t xml:space="preserve">التحصيلات الفائتة</w:t>
      </w:r>
    </w:p>
    <w:p>
      <w:pPr>
        <w:pStyle w:val="FirstParagraph"/>
      </w:pPr>
      <w:r>
        <w:t xml:space="preserve">عرض:</w:t>
      </w:r>
    </w:p>
    <w:p>
      <w:pPr>
        <w:pStyle w:val="BodyText"/>
      </w:pPr>
      <w:r>
        <w:t xml:space="preserve">الصناديق التي لم يتم تحصيلها.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 المتأخرة.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 غير النشطة.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financial-integration"/>
    <w:p>
      <w:pPr>
        <w:pStyle w:val="Heading1"/>
      </w:pPr>
      <w:r>
        <w:t xml:space="preserve">Financial Integration</w:t>
      </w:r>
    </w:p>
    <w:bookmarkStart w:id="46" w:name="الربط-المالي"/>
    <w:p>
      <w:pPr>
        <w:pStyle w:val="Heading2"/>
      </w:pPr>
      <w:r>
        <w:t xml:space="preserve">الربط المالي</w:t>
      </w:r>
    </w:p>
    <w:p>
      <w:pPr>
        <w:pStyle w:val="FirstParagraph"/>
      </w:pPr>
      <w:r>
        <w:t xml:space="preserve">كل تحصيل:</w:t>
      </w:r>
    </w:p>
    <w:p>
      <w:pPr>
        <w:pStyle w:val="BodyText"/>
      </w:pPr>
      <w:r>
        <w:t xml:space="preserve">ينشئ حركة مالية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بحيث يظهر في:</w:t>
      </w:r>
    </w:p>
    <w:p>
      <w:pPr>
        <w:pStyle w:val="BodyText"/>
      </w:pPr>
      <w:r>
        <w:t xml:space="preserve">Financial Management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المحافظة على المصدر.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12000 دينار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صندوق رقم 104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المحصل كرار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15 يناير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owner-profile-integration"/>
    <w:p>
      <w:pPr>
        <w:pStyle w:val="Heading1"/>
      </w:pPr>
      <w:r>
        <w:t xml:space="preserve">Owner Profile Integration</w:t>
      </w:r>
    </w:p>
    <w:bookmarkStart w:id="48" w:name="ربط-صاحب-الصندوق"/>
    <w:p>
      <w:pPr>
        <w:pStyle w:val="Heading2"/>
      </w:pPr>
      <w:r>
        <w:t xml:space="preserve">ربط صاحب الصندوق</w:t>
      </w:r>
    </w:p>
    <w:p>
      <w:pPr>
        <w:pStyle w:val="FirstParagraph"/>
      </w:pPr>
      <w:r>
        <w:t xml:space="preserve">صاحب الصندوق يصبح شخصاً داخل CRM.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ويظهر في ملفه:</w:t>
      </w:r>
    </w:p>
    <w:p>
      <w:pPr>
        <w:pStyle w:val="Compact"/>
        <w:numPr>
          <w:ilvl w:val="0"/>
          <w:numId w:val="1003"/>
        </w:numPr>
      </w:pPr>
      <w:r>
        <w:t xml:space="preserve">الصندوق</w:t>
      </w:r>
    </w:p>
    <w:p>
      <w:pPr>
        <w:pStyle w:val="Compact"/>
        <w:numPr>
          <w:ilvl w:val="0"/>
          <w:numId w:val="1003"/>
        </w:numPr>
      </w:pPr>
      <w:r>
        <w:t xml:space="preserve">التحصيلات</w:t>
      </w:r>
    </w:p>
    <w:p>
      <w:pPr>
        <w:pStyle w:val="Compact"/>
        <w:numPr>
          <w:ilvl w:val="0"/>
          <w:numId w:val="1003"/>
        </w:numPr>
      </w:pPr>
      <w:r>
        <w:t xml:space="preserve">التبرعات الأخرى</w:t>
      </w:r>
    </w:p>
    <w:p>
      <w:pPr>
        <w:pStyle w:val="Compact"/>
        <w:numPr>
          <w:ilvl w:val="0"/>
          <w:numId w:val="1003"/>
        </w:numPr>
      </w:pPr>
      <w:r>
        <w:t xml:space="preserve">الاشتراكات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collector-dashboard"/>
    <w:p>
      <w:pPr>
        <w:pStyle w:val="Heading1"/>
      </w:pPr>
      <w:r>
        <w:t xml:space="preserve">Collector Dashboard</w:t>
      </w:r>
    </w:p>
    <w:bookmarkStart w:id="50" w:name="لوحة-المحصل"/>
    <w:p>
      <w:pPr>
        <w:pStyle w:val="Heading2"/>
      </w:pPr>
      <w:r>
        <w:t xml:space="preserve">لوحة المحصل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04"/>
        </w:numPr>
      </w:pPr>
      <w:r>
        <w:t xml:space="preserve">عدد الصناديق</w:t>
      </w:r>
    </w:p>
    <w:p>
      <w:pPr>
        <w:pStyle w:val="Compact"/>
        <w:numPr>
          <w:ilvl w:val="0"/>
          <w:numId w:val="1004"/>
        </w:numPr>
      </w:pPr>
      <w:r>
        <w:t xml:space="preserve">عدد المحصل</w:t>
      </w:r>
    </w:p>
    <w:p>
      <w:pPr>
        <w:pStyle w:val="Compact"/>
        <w:numPr>
          <w:ilvl w:val="0"/>
          <w:numId w:val="1004"/>
        </w:numPr>
      </w:pPr>
      <w:r>
        <w:t xml:space="preserve">إجمالي التحصيل</w:t>
      </w:r>
    </w:p>
    <w:p>
      <w:pPr>
        <w:pStyle w:val="Compact"/>
        <w:numPr>
          <w:ilvl w:val="0"/>
          <w:numId w:val="1004"/>
        </w:numPr>
      </w:pPr>
      <w:r>
        <w:t xml:space="preserve">المتبقي</w:t>
      </w:r>
    </w:p>
    <w:p>
      <w:pPr>
        <w:pStyle w:val="Compact"/>
        <w:numPr>
          <w:ilvl w:val="0"/>
          <w:numId w:val="1004"/>
        </w:numPr>
      </w:pPr>
      <w:r>
        <w:t xml:space="preserve">المتأخر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upervisor-dashboard"/>
    <w:p>
      <w:pPr>
        <w:pStyle w:val="Heading1"/>
      </w:pPr>
      <w:r>
        <w:t xml:space="preserve">Supervisor Dashboard</w:t>
      </w:r>
    </w:p>
    <w:bookmarkStart w:id="52" w:name="لوحة-المشرف"/>
    <w:p>
      <w:pPr>
        <w:pStyle w:val="Heading2"/>
      </w:pPr>
      <w:r>
        <w:t xml:space="preserve">لوحة المشرف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05"/>
        </w:numPr>
      </w:pPr>
      <w:r>
        <w:t xml:space="preserve">أداء المحصلين</w:t>
      </w:r>
    </w:p>
    <w:p>
      <w:pPr>
        <w:pStyle w:val="Compact"/>
        <w:numPr>
          <w:ilvl w:val="0"/>
          <w:numId w:val="1005"/>
        </w:numPr>
      </w:pPr>
      <w:r>
        <w:t xml:space="preserve">عدد الزيارات</w:t>
      </w:r>
    </w:p>
    <w:p>
      <w:pPr>
        <w:pStyle w:val="Compact"/>
        <w:numPr>
          <w:ilvl w:val="0"/>
          <w:numId w:val="1005"/>
        </w:numPr>
      </w:pPr>
      <w:r>
        <w:t xml:space="preserve">إجمالي التحصيل</w:t>
      </w:r>
    </w:p>
    <w:p>
      <w:pPr>
        <w:pStyle w:val="Compact"/>
        <w:numPr>
          <w:ilvl w:val="0"/>
          <w:numId w:val="1005"/>
        </w:numPr>
      </w:pPr>
      <w:r>
        <w:t xml:space="preserve">الصناديق المتأخرة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executive-dashboard"/>
    <w:p>
      <w:pPr>
        <w:pStyle w:val="Heading1"/>
      </w:pPr>
      <w:r>
        <w:t xml:space="preserve">Executive Dashboard</w:t>
      </w:r>
    </w:p>
    <w:bookmarkStart w:id="54" w:name="لوحة-الإدارة-العليا"/>
    <w:p>
      <w:pPr>
        <w:pStyle w:val="Heading2"/>
      </w:pPr>
      <w:r>
        <w:t xml:space="preserve">لوحة الإدارة العليا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06"/>
        </w:numPr>
      </w:pPr>
      <w:r>
        <w:t xml:space="preserve">عدد الصناديق</w:t>
      </w:r>
    </w:p>
    <w:p>
      <w:pPr>
        <w:pStyle w:val="Compact"/>
        <w:numPr>
          <w:ilvl w:val="0"/>
          <w:numId w:val="1006"/>
        </w:numPr>
      </w:pPr>
      <w:r>
        <w:t xml:space="preserve">عدد المحصلين</w:t>
      </w:r>
    </w:p>
    <w:p>
      <w:pPr>
        <w:pStyle w:val="Compact"/>
        <w:numPr>
          <w:ilvl w:val="0"/>
          <w:numId w:val="1006"/>
        </w:numPr>
      </w:pPr>
      <w:r>
        <w:t xml:space="preserve">إجمالي التحصيلات</w:t>
      </w:r>
    </w:p>
    <w:p>
      <w:pPr>
        <w:pStyle w:val="Compact"/>
        <w:numPr>
          <w:ilvl w:val="0"/>
          <w:numId w:val="1006"/>
        </w:numPr>
      </w:pPr>
      <w:r>
        <w:t xml:space="preserve">أعلى المناطق</w:t>
      </w:r>
    </w:p>
    <w:p>
      <w:pPr>
        <w:pStyle w:val="Compact"/>
        <w:numPr>
          <w:ilvl w:val="0"/>
          <w:numId w:val="1006"/>
        </w:numPr>
      </w:pPr>
      <w:r>
        <w:t xml:space="preserve">أعلى المحصلين</w:t>
      </w:r>
    </w:p>
    <w:p>
      <w:pPr>
        <w:pStyle w:val="Compact"/>
        <w:numPr>
          <w:ilvl w:val="0"/>
          <w:numId w:val="1006"/>
        </w:numPr>
      </w:pPr>
      <w:r>
        <w:t xml:space="preserve">نسبة الإنجاز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geographic-analysis"/>
    <w:p>
      <w:pPr>
        <w:pStyle w:val="Heading1"/>
      </w:pPr>
      <w:r>
        <w:t xml:space="preserve">Geographic Analysis</w:t>
      </w:r>
    </w:p>
    <w:bookmarkStart w:id="56" w:name="التحليل-الجغرافي"/>
    <w:p>
      <w:pPr>
        <w:pStyle w:val="Heading2"/>
      </w:pPr>
      <w:r>
        <w:t xml:space="preserve">التحليل الجغرافي</w:t>
      </w:r>
    </w:p>
    <w:p>
      <w:pPr>
        <w:pStyle w:val="FirstParagraph"/>
      </w:pPr>
      <w:r>
        <w:t xml:space="preserve">عرض التحصيلات حسب:</w:t>
      </w:r>
    </w:p>
    <w:p>
      <w:pPr>
        <w:pStyle w:val="Compact"/>
        <w:numPr>
          <w:ilvl w:val="0"/>
          <w:numId w:val="1007"/>
        </w:numPr>
      </w:pPr>
      <w:r>
        <w:t xml:space="preserve">المحافظة</w:t>
      </w:r>
    </w:p>
    <w:p>
      <w:pPr>
        <w:pStyle w:val="Compact"/>
        <w:numPr>
          <w:ilvl w:val="0"/>
          <w:numId w:val="1007"/>
        </w:numPr>
      </w:pPr>
      <w:r>
        <w:t xml:space="preserve">المدينة</w:t>
      </w:r>
    </w:p>
    <w:p>
      <w:pPr>
        <w:pStyle w:val="Compact"/>
        <w:numPr>
          <w:ilvl w:val="0"/>
          <w:numId w:val="1007"/>
        </w:numPr>
      </w:pPr>
      <w:r>
        <w:t xml:space="preserve">المنطقة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historical-archive"/>
    <w:p>
      <w:pPr>
        <w:pStyle w:val="Heading1"/>
      </w:pPr>
      <w:r>
        <w:t xml:space="preserve">Historical Archive</w:t>
      </w:r>
    </w:p>
    <w:bookmarkStart w:id="58" w:name="الأرشيف-التاريخي"/>
    <w:p>
      <w:pPr>
        <w:pStyle w:val="Heading2"/>
      </w:pPr>
      <w:r>
        <w:t xml:space="preserve">الأرشيف التاريخي</w:t>
      </w:r>
    </w:p>
    <w:p>
      <w:pPr>
        <w:pStyle w:val="FirstParagraph"/>
      </w:pPr>
      <w:r>
        <w:t xml:space="preserve">عدم حذف أي 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العمليات تبقى محفوظة.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يتحول نظام الصناديق من تطبيق مستقل.</w:t>
      </w:r>
    </w:p>
    <w:p>
      <w:pPr>
        <w:pStyle w:val="BodyText"/>
      </w:pPr>
      <w:r>
        <w:t xml:space="preserve">إلى وحدة متكاملة داخل المنصة المركزية.</w:t>
      </w:r>
    </w:p>
    <w:p>
      <w:pPr>
        <w:pStyle w:val="BodyText"/>
      </w:pPr>
      <w:r>
        <w:t xml:space="preserve">مع الاحتفاظ بواجهة المحصلين الحالية وفكرة العمل بدون إنترنت.</w:t>
      </w:r>
    </w:p>
    <w:p>
      <w:pPr>
        <w:pStyle w:val="BodyText"/>
      </w:pPr>
      <w:r>
        <w:t xml:space="preserve">لكن مع ربط جميع البيانات:</w:t>
      </w:r>
    </w:p>
    <w:p>
      <w:pPr>
        <w:pStyle w:val="BodyText"/>
      </w:pPr>
      <w:r>
        <w:t xml:space="preserve">بالأشخاص</w:t>
      </w:r>
    </w:p>
    <w:p>
      <w:pPr>
        <w:pStyle w:val="BodyText"/>
      </w:pPr>
      <w:r>
        <w:t xml:space="preserve">والنظام المالي</w:t>
      </w:r>
    </w:p>
    <w:p>
      <w:pPr>
        <w:pStyle w:val="BodyText"/>
      </w:pPr>
      <w:r>
        <w:t xml:space="preserve">والتقارير</w:t>
      </w:r>
    </w:p>
    <w:p>
      <w:pPr>
        <w:pStyle w:val="BodyText"/>
      </w:pPr>
      <w:r>
        <w:t xml:space="preserve">والإدارة العليا.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2026-07-15T00:19:09Z</dcterms:created>
  <dcterms:modified xsi:type="dcterms:W3CDTF">2026-07-15T00:19:09Z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