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6A0DAD"/>
          <w:sz w:val="32"/>
        </w:rPr>
        <w:t>Plantilla de Manual Operativo de Neuroinclusión del Espacio (MONE) · F-07</w:t>
      </w:r>
    </w:p>
    <w:p>
      <w:pPr>
        <w:spacing w:after="240"/>
        <w:jc w:val="center"/>
      </w:pPr>
      <w:r>
        <w:rPr>
          <w:rFonts w:ascii="Arial" w:hAnsi="Arial"/>
          <w:b w:val="0"/>
          <w:i/>
          <w:color w:val="666666"/>
          <w:sz w:val="18"/>
        </w:rPr>
        <w:t>Documento operativo del espacio físico o virtual (equivalente al RIN para CENI Espacios). (Módulo 7/8)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Sustituye el texto entre corchetes por la información de tu espacio.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1. Principios neuroafirmativos del espacio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[Compromiso del espacio con la accesibilidad neurodivergente.]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2. Umbrales sensoriales objetivo</w:t>
      </w:r>
    </w:p>
    <w:p>
      <w:pPr>
        <w:pStyle w:val="ListBullet"/>
      </w:pPr>
      <w:r>
        <w:rPr>
          <w:rFonts w:ascii="Arial" w:hAnsi="Arial"/>
          <w:sz w:val="22"/>
        </w:rPr>
        <w:t>Iluminación (lux) por zona</w:t>
      </w:r>
    </w:p>
    <w:p>
      <w:pPr>
        <w:pStyle w:val="ListBullet"/>
      </w:pPr>
      <w:r>
        <w:rPr>
          <w:rFonts w:ascii="Arial" w:hAnsi="Arial"/>
          <w:sz w:val="22"/>
        </w:rPr>
        <w:t>Ruido (dB) por zona</w:t>
      </w:r>
    </w:p>
    <w:p>
      <w:pPr>
        <w:pStyle w:val="ListBullet"/>
      </w:pPr>
      <w:r>
        <w:rPr>
          <w:rFonts w:ascii="Arial" w:hAnsi="Arial"/>
          <w:sz w:val="22"/>
        </w:rPr>
        <w:t>Control olfativo</w:t>
      </w:r>
    </w:p>
    <w:p>
      <w:pPr>
        <w:pStyle w:val="ListBullet"/>
      </w:pPr>
      <w:r>
        <w:rPr>
          <w:rFonts w:ascii="Arial" w:hAnsi="Arial"/>
          <w:sz w:val="22"/>
        </w:rPr>
        <w:t>Estímulos visuales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3. Protocolo de atención neurosensible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[Cómo se atiende a usuarios neurodivergentes, sin coerción social ni presión de tiempo.]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4. Espacio de calma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Ubicación, señalización, acceso libre y recursos disponibles.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5. Manejo de crisis sensoriales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Protocolo no punitivo y acceso inmediato al espacio de calma.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6. Comunicación accesible</w:t>
      </w:r>
    </w:p>
    <w:p>
      <w:pPr>
        <w:pStyle w:val="ListBullet"/>
      </w:pPr>
      <w:r>
        <w:rPr>
          <w:rFonts w:ascii="Arial" w:hAnsi="Arial"/>
          <w:sz w:val="22"/>
        </w:rPr>
        <w:t>Tablero/SAAC en el punto de atención</w:t>
      </w:r>
    </w:p>
    <w:p>
      <w:pPr>
        <w:pStyle w:val="ListBullet"/>
      </w:pPr>
      <w:r>
        <w:rPr>
          <w:rFonts w:ascii="Arial" w:hAnsi="Arial"/>
          <w:sz w:val="22"/>
        </w:rPr>
        <w:t>Versión en Lectura Fácil</w:t>
      </w:r>
    </w:p>
    <w:p>
      <w:pPr>
        <w:pStyle w:val="ListBullet"/>
      </w:pPr>
      <w:r>
        <w:rPr>
          <w:rFonts w:ascii="Arial" w:hAnsi="Arial"/>
          <w:sz w:val="22"/>
        </w:rPr>
        <w:t>Canal de atención escrita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7. Canal de retroalimentación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[Mecanismo accesible, anónimo y trazable.]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8. Responsable de Neuroinclusión y revisión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Responsable designado y revisión al menos anual.</w:t>
      </w:r>
    </w:p>
    <w:p>
      <w:pPr>
        <w:spacing w:after="80"/>
      </w:pPr>
      <w:r>
        <w:rPr>
          <w:rFonts w:ascii="Arial" w:hAnsi="Arial"/>
          <w:b/>
          <w:i w:val="0"/>
          <w:color w:val="4B0082"/>
          <w:sz w:val="26"/>
        </w:rPr>
        <w:t>Aprobación</w:t>
      </w:r>
    </w:p>
    <w:p>
      <w:pPr>
        <w:spacing w:after="200"/>
      </w:pPr>
      <w:r>
        <w:rPr>
          <w:rFonts w:ascii="Arial" w:hAnsi="Arial"/>
          <w:b w:val="0"/>
          <w:i/>
          <w:color w:val="888888"/>
          <w:sz w:val="22"/>
        </w:rPr>
        <w:t>[Nombre y firma de la dirección] · Fecha: [DD/MM/AAAA]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