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POLÍTICA DE PREVENCIÓN DE RIESGOS PSICOSOCIALES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666666"/>
          <w:sz w:val="18"/>
        </w:rPr>
        <w:t>Formato F-16 · NOM-035-STPS-2018 (base Guía de Referencia IV) · con enfoque neuroafirmativo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Plantilla editable — sustituya el texto entre corchetes por los datos de su organización.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Datos del centro de trabajo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Nombre, denominación o razón social: [ESCRIBA AQUÍ]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Domicilio: [ESCRIBA AQUÍ]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Actividad principal: [ESCRIBA AQUÍ]</w:t>
      </w:r>
    </w:p>
    <w:p>
      <w:pPr>
        <w:spacing w:after="60"/>
      </w:pPr>
      <w:r>
        <w:rPr>
          <w:rFonts w:ascii="Arial" w:hAnsi="Arial"/>
          <w:b w:val="0"/>
          <w:i w:val="0"/>
          <w:sz w:val="22"/>
        </w:rPr>
        <w:t>Número de trabajadores: [ESCRIBA AQUÍ]  (define las guías aplicables: hasta 15 / 16–50 / más de 50)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1. Declaración de compromiso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[RAZÓN SOCIAL] declara su compromiso de prevenir los factores de riesgo psicosocial, prevenir la violencia laboral y promover un entorno organizacional favorable en su centro de trabajo, en cumplimiento de la NOM-035-STPS-2018 y con un enfoque neuroafirmativo que reconoce y respeta la neurodivergencia de su personal.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2. Objetivo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Establecer los principios y compromisos de la organización para identificar, analizar y prevenir los factores de riesgo psicosocial, así como para desarrollar una cultura de trabajo digno y de mejora continua de las condiciones laborales.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3. Alcance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Esta política aplica a todas las personas trabajadoras del centro de trabajo, sin distinción de puesto, jerarquía, tipo de contratación o condición neurológica.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4. Compromisos</w:t>
      </w:r>
    </w:p>
    <w:p>
      <w:pPr>
        <w:pStyle w:val="ListBullet"/>
      </w:pPr>
      <w:r>
        <w:rPr>
          <w:rFonts w:ascii="Arial" w:hAnsi="Arial"/>
          <w:sz w:val="22"/>
        </w:rPr>
        <w:t>Prevención de los factores de riesgo psicosocial derivados de las cargas de trabajo, la falta de control, las jornadas, la interferencia trabajo-familia y el liderazgo y las relaciones en el trabajo.</w:t>
      </w:r>
    </w:p>
    <w:p>
      <w:pPr>
        <w:pStyle w:val="ListBullet"/>
      </w:pPr>
      <w:r>
        <w:rPr>
          <w:rFonts w:ascii="Arial" w:hAnsi="Arial"/>
          <w:sz w:val="22"/>
        </w:rPr>
        <w:t>Prevención de la violencia laboral (acoso, hostigamiento y malos tratos), incluyendo las formas de discriminación que afectan específicamente al personal neurodivergente (burla del stimming, exigencia de masking, exclusión por diferencias comunicativas).</w:t>
      </w:r>
    </w:p>
    <w:p>
      <w:pPr>
        <w:pStyle w:val="ListBullet"/>
      </w:pPr>
      <w:r>
        <w:rPr>
          <w:rFonts w:ascii="Arial" w:hAnsi="Arial"/>
          <w:sz w:val="22"/>
        </w:rPr>
        <w:t>Promoción de un entorno organizacional favorable: sentido de pertenencia, definición precisa de responsabilidades, comunicación, distribución adecuada de cargas y reconocimiento del desempeño.</w:t>
      </w:r>
    </w:p>
    <w:p>
      <w:pPr>
        <w:pStyle w:val="ListBullet"/>
      </w:pPr>
      <w:r>
        <w:rPr>
          <w:rFonts w:ascii="Arial" w:hAnsi="Arial"/>
          <w:sz w:val="22"/>
        </w:rPr>
        <w:t>Difusión de esta política y de la información sobre riesgo psicosocial a todo el personal (por folletos, boletines o carteles).</w:t>
      </w:r>
    </w:p>
    <w:p>
      <w:pPr>
        <w:pStyle w:val="ListBullet"/>
      </w:pPr>
      <w:r>
        <w:rPr>
          <w:rFonts w:ascii="Arial" w:hAnsi="Arial"/>
          <w:sz w:val="22"/>
        </w:rPr>
        <w:t>Disposición de un mecanismo seguro y confidencial para la recepción de quejas por violencia laboral y prácticas opuestas al entorno favorable, con protección anti-represalia.</w:t>
      </w:r>
    </w:p>
    <w:p>
      <w:pPr>
        <w:pStyle w:val="ListBullet"/>
      </w:pPr>
      <w:r>
        <w:rPr>
          <w:rFonts w:ascii="Arial" w:hAnsi="Arial"/>
          <w:sz w:val="22"/>
        </w:rPr>
        <w:t>Identificación de acontecimientos traumáticos severos (Guía I) y canalización de la persona a atención médica o psicológica.</w:t>
      </w:r>
    </w:p>
    <w:p>
      <w:pPr>
        <w:pStyle w:val="ListBullet"/>
      </w:pPr>
      <w:r>
        <w:rPr>
          <w:rFonts w:ascii="Arial" w:hAnsi="Arial"/>
          <w:sz w:val="22"/>
        </w:rPr>
        <w:t>Realización de ajustes razonables para el personal neurodivergente como medida de prevención del riesgo psicosocial.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4"/>
        </w:rPr>
        <w:t>5. Responsable y vigencia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Responsable de la implementación: [NOMBRE Y CARGO].  Esta política se revisará y actualizará al menos una vez al año, o cuando el resultado de la identificación y análisis de los factores de riesgo psicosocial lo determine.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br/>
        <w:t>_______________________________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[NOMBRE] — Representante legal / Dirección</w:t>
      </w:r>
    </w:p>
    <w:p>
      <w:pPr>
        <w:spacing w:after="240"/>
      </w:pPr>
      <w:r>
        <w:rPr>
          <w:rFonts w:ascii="Arial" w:hAnsi="Arial"/>
          <w:b w:val="0"/>
          <w:i w:val="0"/>
          <w:sz w:val="20"/>
        </w:rPr>
        <w:t>Fecha: [DD/MM/AAAA]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16"/>
        </w:rPr>
        <w:t>Fundamento: NOM-035-STPS-2018, numeral 5.1 y Guía de Referencia IV. Este formato es una plantilla orientativa; adáptela a su organización.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