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pPr>
      <w:r>
        <w:t xml:space="preserve"/>
      </w:r>
    </w:p>
    <w:p>
      <w:pPr>
        <w:spacing w:after="120" w:before="0"/>
        <w:jc w:val="center"/>
      </w:pPr>
      <w:r>
        <w:rPr>
          <w:rFonts w:ascii="Arial" w:cs="Arial" w:eastAsia="Arial" w:hAnsi="Arial"/>
          <w:b/>
          <w:bCs/>
          <w:color w:val="B39DDB"/>
          <w:sz w:val="24"/>
          <w:szCs w:val="24"/>
        </w:rPr>
        <w:t xml:space="preserve">ALIANZA ÍNDIGO NEURODIVERGENTE A.C.</w:t>
      </w:r>
    </w:p>
    <w:p>
      <w:pPr>
        <w:spacing w:after="480" w:before="0"/>
        <w:jc w:val="center"/>
      </w:pPr>
      <w:r>
        <w:rPr>
          <w:rFonts w:ascii="Arial" w:cs="Arial" w:eastAsia="Arial" w:hAnsi="Arial"/>
          <w:color w:val="6A0DAD"/>
          <w:sz w:val="20"/>
          <w:szCs w:val="20"/>
        </w:rPr>
        <w:t xml:space="preserve">PROGRAMA CENI</w:t>
      </w:r>
    </w:p>
    <w:p>
      <w:pPr>
        <w:spacing w:after="80" w:before="0"/>
        <w:jc w:val="center"/>
      </w:pPr>
      <w:r>
        <w:rPr>
          <w:rFonts w:ascii="Arial" w:cs="Arial" w:eastAsia="Arial" w:hAnsi="Arial"/>
          <w:b/>
          <w:bCs/>
          <w:color w:val="4B0082"/>
          <w:sz w:val="56"/>
          <w:szCs w:val="56"/>
        </w:rPr>
        <w:t xml:space="preserve">CERTIFICACIÓN DE ENTORNOS</w:t>
      </w:r>
    </w:p>
    <w:p>
      <w:pPr>
        <w:spacing w:after="80" w:before="0"/>
        <w:jc w:val="center"/>
      </w:pPr>
      <w:r>
        <w:rPr>
          <w:rFonts w:ascii="Arial" w:cs="Arial" w:eastAsia="Arial" w:hAnsi="Arial"/>
          <w:b/>
          <w:bCs/>
          <w:color w:val="4B0082"/>
          <w:sz w:val="56"/>
          <w:szCs w:val="56"/>
        </w:rPr>
        <w:t xml:space="preserve">NEUROINCLUSIVOS</w:t>
      </w:r>
    </w:p>
    <w:p>
      <w:pPr>
        <w:pBdr>
          <w:bottom w:val="single" w:color="E0E0E0" w:sz="4" w:space="1"/>
        </w:pBdr>
        <w:spacing w:after="120" w:before="120"/>
      </w:pPr>
      <w:r>
        <w:t xml:space="preserve"/>
      </w:r>
    </w:p>
    <w:p>
      <w:pPr>
        <w:spacing w:after="80" w:before="240"/>
        <w:jc w:val="center"/>
      </w:pPr>
      <w:r>
        <w:rPr>
          <w:rFonts w:ascii="Arial" w:cs="Arial" w:eastAsia="Arial" w:hAnsi="Arial"/>
          <w:b/>
          <w:bCs/>
          <w:color w:val="6A0DAD"/>
          <w:sz w:val="36"/>
          <w:szCs w:val="36"/>
        </w:rPr>
        <w:t xml:space="preserve">CURSO INTEGRAL DE CAPACITACIÓN</w:t>
      </w:r>
    </w:p>
    <w:p>
      <w:pPr>
        <w:spacing w:after="480" w:before="0"/>
        <w:jc w:val="center"/>
      </w:pPr>
      <w:r>
        <w:rPr>
          <w:rFonts w:ascii="Arial" w:cs="Arial" w:eastAsia="Arial" w:hAnsi="Arial"/>
          <w:color w:val="00695C"/>
          <w:sz w:val="28"/>
          <w:szCs w:val="28"/>
        </w:rPr>
        <w:t xml:space="preserve">CENI LABORAL · CENI ESPACIOS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Dirigido a:</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Propietarios, empleados, docentes, familias y prestadores de servicios</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Duración total:</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16 horas (tronco común obligatorio) + 9 horas (ruta de certificación) + actualización anual</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Modalidad:</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Presencial, en línea o híbrida</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Certificación:</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Constancia oficial Alianza Índigo Neurodivergente A.C.</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Marco legal:</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Ley Índigo – Derechos Índigo – CDPD – Convención Americana DDHH</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Versión:</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2.1 – 2026</w:t>
            </w:r>
          </w:p>
        </w:tc>
      </w:tr>
    </w:tbl>
    <w:p>
      <w:pPr>
        <w:spacing w:after="120" w:before="0"/>
      </w:pPr>
      <w:r>
        <w:t xml:space="preserve"/>
      </w:r>
    </w:p>
    <w:p>
      <w:pPr>
        <w:spacing w:after="120" w:before="0"/>
      </w:pPr>
      <w:r>
        <w:t xml:space="preserve"/>
      </w:r>
    </w:p>
    <w:p>
      <w:pPr>
        <w:spacing w:after="80" w:before="240"/>
        <w:jc w:val="center"/>
      </w:pPr>
      <w:r>
        <w:rPr>
          <w:rFonts w:ascii="Arial" w:cs="Arial" w:eastAsia="Arial" w:hAnsi="Arial"/>
          <w:b/>
          <w:bCs/>
          <w:i/>
          <w:iCs/>
          <w:color w:val="6A0DAD"/>
          <w:sz w:val="28"/>
          <w:szCs w:val="28"/>
        </w:rPr>
        <w:t xml:space="preserve">"No necesitas PARECER para SER"</w:t>
      </w:r>
    </w:p>
    <w:p>
      <w:pPr>
        <w:spacing w:after="0" w:before="0"/>
        <w:jc w:val="center"/>
      </w:pPr>
      <w:r>
        <w:rPr>
          <w:rFonts w:ascii="Arial" w:cs="Arial" w:eastAsia="Arial" w:hAnsi="Arial"/>
          <w:i/>
          <w:iCs/>
          <w:color w:val="616161"/>
          <w:sz w:val="20"/>
          <w:szCs w:val="20"/>
        </w:rPr>
        <w:t xml:space="preserve">Manifiesto Amor Índigo – Alianza Índigo Neurodivergente A.C.</w:t>
      </w:r>
    </w:p>
    <w:p>
      <w:pPr>
        <w:pageBreakBefore/>
      </w:pPr>
      <w:r>
        <w:br/>
      </w:r>
    </w:p>
    <w:p>
      <w:pPr>
        <w:pStyle w:val="Heading1"/>
        <w:pBdr>
          <w:bottom w:val="single" w:color="6A0DAD" w:sz="8" w:space="1"/>
        </w:pBdr>
        <w:spacing w:after="240" w:before="480"/>
      </w:pPr>
      <w:r>
        <w:rPr>
          <w:rFonts w:ascii="Arial" w:cs="Arial" w:eastAsia="Arial" w:hAnsi="Arial"/>
          <w:b/>
          <w:bCs/>
          <w:color w:val="4B0082"/>
          <w:sz w:val="40"/>
          <w:szCs w:val="40"/>
        </w:rPr>
        <w:t xml:space="preserve">PRESENTACIÓN GENERAL DEL PROGRAMA CENI</w:t>
      </w:r>
    </w:p>
    <w:p>
      <w:pPr>
        <w:pStyle w:val="Heading2"/>
        <w:spacing w:after="180" w:before="360"/>
      </w:pPr>
      <w:r>
        <w:rPr>
          <w:rFonts w:ascii="Arial" w:cs="Arial" w:eastAsia="Arial" w:hAnsi="Arial"/>
          <w:b/>
          <w:bCs/>
          <w:color w:val="6A0DAD"/>
          <w:sz w:val="32"/>
          <w:szCs w:val="32"/>
        </w:rPr>
        <w:t xml:space="preserve">Propósito del programa</w:t>
      </w:r>
    </w:p>
    <w:p>
      <w:pPr>
        <w:spacing w:after="60" w:before="60"/>
        <w:jc w:val="left"/>
      </w:pPr>
      <w:r>
        <w:rPr>
          <w:rFonts w:ascii="Arial" w:cs="Arial" w:eastAsia="Arial" w:hAnsi="Arial"/>
          <w:b w:val="false"/>
          <w:bCs w:val="false"/>
          <w:i w:val="false"/>
          <w:iCs w:val="false"/>
          <w:color w:val="212121"/>
          <w:sz w:val="22"/>
          <w:szCs w:val="22"/>
        </w:rPr>
        <w:t xml:space="preserve">El programa CENI —Certificación de Entornos Neuroinclusivos— es el sistema de evaluación, certificación y mejora continua desarrollado por Alianza Índigo Neurodivergente A.C. con el propósito de transformar espacios laborales, educativos, comerciales, de salud y de servicio público en entornos genuinamente accesibles para personas neurodivergentes y sus familias.</w:t>
      </w:r>
    </w:p>
    <w:p>
      <w:pPr>
        <w:spacing w:after="60" w:before="60"/>
        <w:jc w:val="left"/>
      </w:pPr>
      <w:r>
        <w:rPr>
          <w:rFonts w:ascii="Arial" w:cs="Arial" w:eastAsia="Arial" w:hAnsi="Arial"/>
          <w:b w:val="false"/>
          <w:bCs w:val="false"/>
          <w:i w:val="false"/>
          <w:iCs w:val="false"/>
          <w:color w:val="212121"/>
          <w:sz w:val="22"/>
          <w:szCs w:val="22"/>
        </w:rPr>
        <w:t xml:space="preserve">CENI no es un sello decorativo. Es un protocolo de ingeniería social aplicada, auditado con evidencia objetiva, cuyos criterios están anclados en derechos humanos de cuarta generación, en la Ley Índigo y en los Derechos Índigo. Cada punto del sistema de evaluación responde a una necesidad real, documentada por personas neurodivergentes.</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Alcance del programa</w:t>
      </w:r>
    </w:p>
    <w:p>
      <w:pPr>
        <w:spacing w:after="60" w:before="60"/>
        <w:jc w:val="left"/>
      </w:pPr>
      <w:r>
        <w:rPr>
          <w:rFonts w:ascii="Arial" w:cs="Arial" w:eastAsia="Arial" w:hAnsi="Arial"/>
          <w:b w:val="false"/>
          <w:bCs w:val="false"/>
          <w:i w:val="false"/>
          <w:iCs w:val="false"/>
          <w:color w:val="212121"/>
          <w:sz w:val="22"/>
          <w:szCs w:val="22"/>
        </w:rPr>
        <w:t xml:space="preserve">CENI opera en dos líneas de certificación independientes y complementarias:</w:t>
      </w:r>
    </w:p>
    <w:p>
      <w:pPr>
        <w:pStyle w:val="ListParagraph"/>
        <w:numPr>
          <w:ilvl w:val="0"/>
          <w:numId w:val="2"/>
        </w:numPr>
        <w:spacing w:after="40" w:before="40"/>
      </w:pPr>
      <w:r>
        <w:rPr>
          <w:rFonts w:ascii="Arial" w:cs="Arial" w:eastAsia="Arial" w:hAnsi="Arial"/>
          <w:color w:val="212121"/>
          <w:sz w:val="22"/>
          <w:szCs w:val="22"/>
        </w:rPr>
        <w:t xml:space="preserve">CENI Laboral: evalúa las prácticas de contratación, permanencia, comunicación, carga de trabajo, gobernanza y cultura organizacional en centros de trabajo de cualquier sector y tamaño.</w:t>
      </w:r>
    </w:p>
    <w:p>
      <w:pPr>
        <w:pStyle w:val="ListParagraph"/>
        <w:numPr>
          <w:ilvl w:val="0"/>
          <w:numId w:val="2"/>
        </w:numPr>
        <w:spacing w:after="40" w:before="40"/>
      </w:pPr>
      <w:r>
        <w:rPr>
          <w:rFonts w:ascii="Arial" w:cs="Arial" w:eastAsia="Arial" w:hAnsi="Arial"/>
          <w:color w:val="212121"/>
          <w:sz w:val="22"/>
          <w:szCs w:val="22"/>
        </w:rPr>
        <w:t xml:space="preserve">CENI Espacios: evalúa la accesibilidad sensorial, cognitiva, social, comunicacional, de servicios y de gobernanza en espacios físicos y virtuales donde las personas neurodivergentes acuden como usuarias, clientes, pacientes o ciudadanas.</w:t>
      </w:r>
    </w:p>
    <w:p>
      <w:pPr>
        <w:spacing w:after="120" w:before="0"/>
      </w:pPr>
      <w:r>
        <w:t xml:space="preserve"/>
      </w:r>
    </w:p>
    <w:p>
      <w:pPr>
        <w:spacing w:after="60" w:before="60"/>
        <w:jc w:val="left"/>
      </w:pPr>
      <w:r>
        <w:rPr>
          <w:rFonts w:ascii="Arial" w:cs="Arial" w:eastAsia="Arial" w:hAnsi="Arial"/>
          <w:b w:val="false"/>
          <w:bCs w:val="false"/>
          <w:i w:val="false"/>
          <w:iCs w:val="false"/>
          <w:color w:val="212121"/>
          <w:sz w:val="22"/>
          <w:szCs w:val="22"/>
        </w:rPr>
        <w:t xml:space="preserve">Cada línea evalúa seis dimensiones, treinta criterios y mil puntos posibles, con tres niveles de certificación: Bronce (500–649), Plata (650–799) y Oro (800–1,000). Para cualquier nivel se requiere además un mínimo de 40% en cada dimensión. La certificación es renovable y sujeta a auditorías periódicas.</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Filosofía del programa</w:t>
      </w:r>
    </w:p>
    <w:p>
      <w:pPr>
        <w:spacing w:after="60" w:before="60"/>
        <w:jc w:val="left"/>
      </w:pPr>
      <w:r>
        <w:rPr>
          <w:rFonts w:ascii="Arial" w:cs="Arial" w:eastAsia="Arial" w:hAnsi="Arial"/>
          <w:b w:val="false"/>
          <w:bCs w:val="false"/>
          <w:i w:val="false"/>
          <w:iCs w:val="false"/>
          <w:color w:val="212121"/>
          <w:sz w:val="22"/>
          <w:szCs w:val="22"/>
        </w:rPr>
        <w:t xml:space="preserve">CENI se construye sobre cuatro pilares filosóficos:</w:t>
      </w:r>
    </w:p>
    <w:p>
      <w:pPr>
        <w:pStyle w:val="ListParagraph"/>
        <w:numPr>
          <w:ilvl w:val="0"/>
          <w:numId w:val="3"/>
        </w:numPr>
        <w:spacing w:after="40" w:before="40"/>
      </w:pPr>
      <w:r>
        <w:rPr>
          <w:rFonts w:ascii="Arial" w:cs="Arial" w:eastAsia="Arial" w:hAnsi="Arial"/>
          <w:color w:val="212121"/>
          <w:sz w:val="22"/>
          <w:szCs w:val="22"/>
        </w:rPr>
        <w:t xml:space="preserve">Paradigma neuroafirmativo: la neurodivergencia es una variación legítima del neurodesarrollo humano, no un déficit a corregir ni una condición a normalizar.</w:t>
      </w:r>
    </w:p>
    <w:p>
      <w:pPr>
        <w:pStyle w:val="ListParagraph"/>
        <w:numPr>
          <w:ilvl w:val="0"/>
          <w:numId w:val="3"/>
        </w:numPr>
        <w:spacing w:after="40" w:before="40"/>
      </w:pPr>
      <w:r>
        <w:rPr>
          <w:rFonts w:ascii="Arial" w:cs="Arial" w:eastAsia="Arial" w:hAnsi="Arial"/>
          <w:color w:val="212121"/>
          <w:sz w:val="22"/>
          <w:szCs w:val="22"/>
        </w:rPr>
        <w:t xml:space="preserve">Autodeterminación: las personas neurodivergentes tienen derecho a diseñar, evaluar y opinar sobre los entornos que las afectan. CENI incorpora la voz neurodivergente en su metodología de auditoría (mystery client neurodivergente).</w:t>
      </w:r>
    </w:p>
    <w:p>
      <w:pPr>
        <w:pStyle w:val="ListParagraph"/>
        <w:numPr>
          <w:ilvl w:val="0"/>
          <w:numId w:val="3"/>
        </w:numPr>
        <w:spacing w:after="40" w:before="40"/>
      </w:pPr>
      <w:r>
        <w:rPr>
          <w:rFonts w:ascii="Arial" w:cs="Arial" w:eastAsia="Arial" w:hAnsi="Arial"/>
          <w:color w:val="212121"/>
          <w:sz w:val="22"/>
          <w:szCs w:val="22"/>
        </w:rPr>
        <w:t xml:space="preserve">Ingeniería Forense de Certeza Jurídica: los criterios de CENI son verificables con evidencia objetiva —fotografías, registros, protocolos escritos, umbrales medibles— y no dependen de percepciones subjetivas del evaluador.</w:t>
      </w:r>
    </w:p>
    <w:p>
      <w:pPr>
        <w:pStyle w:val="ListParagraph"/>
        <w:numPr>
          <w:ilvl w:val="0"/>
          <w:numId w:val="3"/>
        </w:numPr>
        <w:spacing w:after="40" w:before="40"/>
      </w:pPr>
      <w:r>
        <w:rPr>
          <w:rFonts w:ascii="Arial" w:cs="Arial" w:eastAsia="Arial" w:hAnsi="Arial"/>
          <w:color w:val="212121"/>
          <w:sz w:val="22"/>
          <w:szCs w:val="22"/>
        </w:rPr>
        <w:t xml:space="preserve">Mejora continua: CENI no certifica estados estáticos. Certifica sistemas de gestión que demuestran capacidad de aprendizaje, corrección y evolución.</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Marco jurídico aplicable</w:t>
      </w:r>
    </w:p>
    <w:p>
      <w:pPr>
        <w:spacing w:after="60" w:before="60"/>
        <w:jc w:val="left"/>
      </w:pPr>
      <w:r>
        <w:rPr>
          <w:rFonts w:ascii="Arial" w:cs="Arial" w:eastAsia="Arial" w:hAnsi="Arial"/>
          <w:b w:val="false"/>
          <w:bCs w:val="false"/>
          <w:i w:val="false"/>
          <w:iCs w:val="false"/>
          <w:color w:val="212121"/>
          <w:sz w:val="22"/>
          <w:szCs w:val="22"/>
        </w:rPr>
        <w:t xml:space="preserve">El programa CENI se sustenta en el siguiente corpus normativo, ordenado jerárquicamente: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Nivel internacional</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Convención sobre los Derechos de las Personas con Discapacidad (CDPD – ONU, 2006) · Convención Americana sobre Derechos Humanos · Convención sobre los Derechos del Niño (CDN)</w:t>
            </w:r>
          </w:p>
        </w:tc>
      </w:tr>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Nivel constitucional</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Artículo 1° Constitución Política de los Estados Unidos Mexicanos (principios de igualdad, no discriminación, inclusión) · Artículo 4° (derecho a la salud, educación, vivienda digna)</w:t>
            </w:r>
          </w:p>
        </w:tc>
      </w:tr>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Marco específico</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Ley General para la Inclusión de las Personas con Discapacidad · Ley Federal para Prevenir y Eliminar la Discriminación · Ley General de Educación · NOM-035-STPS-2018 (STPS): identificación, análisis y prevención de factores de riesgo psicosocial</w:t>
            </w:r>
          </w:p>
        </w:tc>
      </w:tr>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Marco Índigo</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Ley Índigo (propuesta de 74 artículos) · Derechos Índigo (seis derechos de cuarta generación) · Manifiesto Amor Índigo · Lineamientos CENI Laboral y CENI Espacios</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Relación con Derechos Índigo y Ley Índigo</w:t>
      </w:r>
    </w:p>
    <w:p>
      <w:pPr>
        <w:spacing w:after="60" w:before="60"/>
        <w:jc w:val="left"/>
      </w:pPr>
      <w:r>
        <w:rPr>
          <w:rFonts w:ascii="Arial" w:cs="Arial" w:eastAsia="Arial" w:hAnsi="Arial"/>
          <w:b w:val="false"/>
          <w:bCs w:val="false"/>
          <w:i w:val="false"/>
          <w:iCs w:val="false"/>
          <w:color w:val="212121"/>
          <w:sz w:val="22"/>
          <w:szCs w:val="22"/>
        </w:rPr>
        <w:t xml:space="preserve">Los Derechos Índigo son seis derechos específicos de cuarta generación que protegen la existencia neurodivergente en su integralidad. Su reconocimiento, operacionalización y garantía son el núcleo de toda evaluación CENI: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Derecho 1</w:t>
            </w:r>
          </w:p>
        </w:tc>
        <w:tc>
          <w:tcPr>
            <w:tcW w:type="dxa" w:w="7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Derecho al stimming sin sanción: toda persona neurodivergente tiene derecho a realizar sus conductas de autorregulación sin ser castigada, corregida o patologizada por ello.</w:t>
            </w:r>
          </w:p>
        </w:tc>
      </w:tr>
      <w:tr>
        <w:tc>
          <w:tcPr>
            <w:tcW w:type="dxa" w:w="16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Derecho 2</w:t>
            </w:r>
          </w:p>
        </w:tc>
        <w:tc>
          <w:tcPr>
            <w:tcW w:type="dxa" w:w="7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Derecho a la autoidentificación sin diagnóstico: ninguna persona requiere un documento médico para reconocerse y ser reconocida como neurodivergente.</w:t>
            </w:r>
          </w:p>
        </w:tc>
      </w:tr>
      <w:tr>
        <w:tc>
          <w:tcPr>
            <w:tcW w:type="dxa" w:w="16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Derecho 3</w:t>
            </w:r>
          </w:p>
        </w:tc>
        <w:tc>
          <w:tcPr>
            <w:tcW w:type="dxa" w:w="7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Prohibición de terapias normalizadoras: quedan prohibidas todas las intervenciones cuyo objetivo sea suprimir, disminuir o modificar rasgos neurodivergentes con fines de conformidad social.</w:t>
            </w:r>
          </w:p>
        </w:tc>
      </w:tr>
      <w:tr>
        <w:tc>
          <w:tcPr>
            <w:tcW w:type="dxa" w:w="16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Derecho 4</w:t>
            </w:r>
          </w:p>
        </w:tc>
        <w:tc>
          <w:tcPr>
            <w:tcW w:type="dxa" w:w="7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Derecho al masking libre: ninguna persona neurodivergente puede ser forzada a ocultar sus rasgos identitarios como condición de participación social, laboral o educativa.</w:t>
            </w:r>
          </w:p>
        </w:tc>
      </w:tr>
      <w:tr>
        <w:tc>
          <w:tcPr>
            <w:tcW w:type="dxa" w:w="16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Derecho 5</w:t>
            </w:r>
          </w:p>
        </w:tc>
        <w:tc>
          <w:tcPr>
            <w:tcW w:type="dxa" w:w="7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Protección frente a discriminación algorítmica: los sistemas de inteligencia artificial, selección de personal y evaluación de desempeño no pueden discriminar por perfil neurodivergente.</w:t>
            </w:r>
          </w:p>
        </w:tc>
      </w:tr>
      <w:tr>
        <w:tc>
          <w:tcPr>
            <w:tcW w:type="dxa" w:w="16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Derecho 6</w:t>
            </w:r>
          </w:p>
        </w:tc>
        <w:tc>
          <w:tcPr>
            <w:tcW w:type="dxa" w:w="7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Derecho a la existencia neurodivergente plena: las personas neurodivergentes tienen derecho a existir tal como son, sin que su existencia sea condicionada a tratamiento, corrección o adaptación social.</w:t>
            </w:r>
          </w:p>
        </w:tc>
      </w:tr>
    </w:tbl>
    <w:p>
      <w:pPr>
        <w:spacing w:after="120" w:before="0"/>
      </w:pPr>
      <w:r>
        <w:t xml:space="preserve"/>
      </w:r>
    </w:p>
    <w:p>
      <w:pPr>
        <w:spacing w:after="60" w:before="60"/>
        <w:jc w:val="left"/>
      </w:pPr>
      <w:r>
        <w:rPr>
          <w:rFonts w:ascii="Arial" w:cs="Arial" w:eastAsia="Arial" w:hAnsi="Arial"/>
          <w:b w:val="false"/>
          <w:bCs w:val="false"/>
          <w:i w:val="false"/>
          <w:iCs w:val="false"/>
          <w:color w:val="212121"/>
          <w:sz w:val="22"/>
          <w:szCs w:val="22"/>
        </w:rPr>
        <w:t xml:space="preserve">La Ley Índigo es la propuesta legislativa de 74 artículos desarrollada por Alianza Índigo Neurodivergente A.C. que busca dar rango de ley federal a los Derechos Índigo, establecer obligaciones concretas para el Estado mexicano y regular el sistema de certificación CENI como mecanismo de cumplimiento empresarial voluntario con beneficios fiscales y de contratación pública.</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Estructura del curso</w:t>
      </w:r>
    </w:p>
    <w:p>
      <w:pPr>
        <w:spacing w:after="60" w:before="60"/>
        <w:jc w:val="left"/>
      </w:pPr>
      <w:r>
        <w:rPr>
          <w:rFonts w:ascii="Arial" w:cs="Arial" w:eastAsia="Arial" w:hAnsi="Arial"/>
          <w:b w:val="false"/>
          <w:bCs w:val="false"/>
          <w:i w:val="false"/>
          <w:iCs w:val="false"/>
          <w:color w:val="212121"/>
          <w:sz w:val="22"/>
          <w:szCs w:val="22"/>
        </w:rPr>
        <w:t xml:space="preserve">Este curso está organizado en dos bloques. El Tronco Común Obligatorio (Módulos 1 a 5, 16 horas) corresponde exactamente al programa de capacitación obligatoria definido en la sección VIII de los Lineamientos CENI v3.1 y debe completarlo todo el personal de organizaciones certificadas. La Ruta de Certificación (Módulos 6 a 10, 9 horas) está dirigida al Responsable de Neuroinclusión, directivos y equipos de implementación. Cada módulo incluye objetivos de aprendizaje, contenido desarrollado, actividades prácticas, evidencias requeridas y evaluación modular.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Total de módulos</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10 módulos temáticos + materiales + evaluación final</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Horas requeridas</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16 h tronco común (Módulos 1–5) + 9 h ruta de certificación (Módulos 6–10); actualización anual de 4 horas</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Prerrequisito</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Ninguno — apto para todos los niveles educativos</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Evaluación</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Quiz por módulo (80% mínimo aprobatorio) + caso práctico final</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Constancia</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Emitida por Alianza Índigo Neurodivergente A.C. (folio digital verificable)</w:t>
            </w:r>
          </w:p>
        </w:tc>
      </w:tr>
    </w:tbl>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B0082" w:val="clear"/>
            <w:tcMar>
              <w:top w:type="dxa" w:w="160"/>
              <w:left w:type="dxa" w:w="240"/>
              <w:bottom w:type="dxa" w:w="60"/>
              <w:right w:type="dxa" w:w="240"/>
            </w:tcMar>
          </w:tcPr>
          <w:p>
            <w:pPr>
              <w:jc w:val="left"/>
            </w:pPr>
            <w:r>
              <w:rPr>
                <w:rFonts w:ascii="Arial" w:cs="Arial" w:eastAsia="Arial" w:hAnsi="Arial"/>
                <w:b/>
                <w:bCs/>
                <w:color w:val="B39DDB"/>
                <w:sz w:val="22"/>
                <w:szCs w:val="22"/>
              </w:rPr>
              <w:t xml:space="preserve">MÓDULO 1</w:t>
            </w:r>
          </w:p>
          <w:p>
            <w:pPr>
              <w:jc w:val="left"/>
            </w:pPr>
            <w:r>
              <w:rPr>
                <w:rFonts w:ascii="Arial" w:cs="Arial" w:eastAsia="Arial" w:hAnsi="Arial"/>
                <w:b/>
                <w:bCs/>
                <w:color w:val="FFFFFF"/>
                <w:sz w:val="36"/>
                <w:szCs w:val="36"/>
              </w:rPr>
              <w:t xml:space="preserve">NEURODIVERSIDAD 101</w:t>
            </w:r>
          </w:p>
        </w:tc>
      </w:tr>
      <w:tr>
        <w:tc>
          <w:tcPr>
            <w:tcBorders>
              <w:top w:val="none" w:color="FFFFFF" w:sz="0"/>
              <w:left w:val="none" w:color="FFFFFF" w:sz="0"/>
              <w:bottom w:val="none" w:color="FFFFFF" w:sz="0"/>
              <w:right w:val="none" w:color="FFFFFF" w:sz="0"/>
            </w:tcBorders>
            <w:shd w:fill="6A0DAD" w:val="clear"/>
            <w:tcMar>
              <w:top w:type="dxa" w:w="80"/>
              <w:left w:type="dxa" w:w="240"/>
              <w:bottom w:type="dxa" w:w="80"/>
              <w:right w:type="dxa" w:w="240"/>
            </w:tcMar>
          </w:tcPr>
          <w:p>
            <w:r>
              <w:rPr>
                <w:rFonts w:ascii="Arial" w:cs="Arial" w:eastAsia="Arial" w:hAnsi="Arial"/>
                <w:color w:val="FFFFFF"/>
                <w:sz w:val="20"/>
                <w:szCs w:val="20"/>
              </w:rPr>
              <w:t xml:space="preserve">Duración: 4 horas   Dirigido a: Todo público</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95C" w:sz="1"/>
              <w:left w:val="single" w:color="00695C" w:sz="1"/>
              <w:bottom w:val="single" w:color="00695C" w:sz="1"/>
              <w:right w:val="single" w:color="00695C" w:sz="1"/>
            </w:tcBorders>
            <w:shd w:fill="00695C" w:val="clear"/>
            <w:tcMar>
              <w:top w:type="dxa" w:w="80"/>
              <w:left w:type="dxa" w:w="160"/>
              <w:bottom w:type="dxa" w:w="80"/>
              <w:right w:type="dxa" w:w="160"/>
            </w:tcMar>
          </w:tcPr>
          <w:p>
            <w:r>
              <w:rPr>
                <w:rFonts w:ascii="Arial" w:cs="Arial" w:eastAsia="Arial" w:hAnsi="Arial"/>
                <w:b/>
                <w:bCs/>
                <w:color w:val="FFFFFF"/>
                <w:sz w:val="22"/>
                <w:szCs w:val="22"/>
              </w:rPr>
              <w:t xml:space="preserve">OBJETIVOS DEL MÓDULO</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Distinguir los conceptos de neurodiversidad, neurodivergencia y neurotipicidad con precisión y sin lenguaje patologizante.</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Aplicar el paradigma neuroafirmativo en conversaciones cotidianas y documentos institucionales.</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Identificar las principales variaciones del neurodesarrollo y sus características funcionales.</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Comprender el stimming, el masking y la autorregulación como procesos legítimos e identitarios.</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Reconocer los seis Derechos Índigo y explicar por qué constituyen derechos de cuarta generación.</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1.1 Definiciones operativas</w:t>
      </w:r>
    </w:p>
    <w:p>
      <w:pPr>
        <w:pStyle w:val="Heading3"/>
        <w:spacing w:after="120" w:before="240"/>
      </w:pPr>
      <w:r>
        <w:rPr>
          <w:rFonts w:ascii="Arial" w:cs="Arial" w:eastAsia="Arial" w:hAnsi="Arial"/>
          <w:b/>
          <w:bCs/>
          <w:color w:val="1565C0"/>
          <w:sz w:val="26"/>
          <w:szCs w:val="26"/>
        </w:rPr>
        <w:t xml:space="preserve">Neurodiversidad</w:t>
      </w:r>
    </w:p>
    <w:p>
      <w:pPr>
        <w:spacing w:after="60" w:before="60"/>
        <w:jc w:val="left"/>
      </w:pPr>
      <w:r>
        <w:rPr>
          <w:rFonts w:ascii="Arial" w:cs="Arial" w:eastAsia="Arial" w:hAnsi="Arial"/>
          <w:b w:val="false"/>
          <w:bCs w:val="false"/>
          <w:i w:val="false"/>
          <w:iCs w:val="false"/>
          <w:color w:val="212121"/>
          <w:sz w:val="22"/>
          <w:szCs w:val="22"/>
        </w:rPr>
        <w:t xml:space="preserve">El término neurodiversidad, acuñado por la socióloga autista Judy Singer en 1998, describe el hecho biológico de que los cerebros humanos presentan variaciones naturales en su funcionamiento, igual que los cuerpos humanos presentan variaciones en estatura, pigmentación o metabolismo. La neurodiversidad no es una patología: es un descriptor de la realidad biológica de la especie.</w:t>
      </w:r>
    </w:p>
    <w:p>
      <w:pPr>
        <w:pStyle w:val="Heading3"/>
        <w:spacing w:after="120" w:before="240"/>
      </w:pPr>
      <w:r>
        <w:rPr>
          <w:rFonts w:ascii="Arial" w:cs="Arial" w:eastAsia="Arial" w:hAnsi="Arial"/>
          <w:b/>
          <w:bCs/>
          <w:color w:val="1565C0"/>
          <w:sz w:val="26"/>
          <w:szCs w:val="26"/>
        </w:rPr>
        <w:t xml:space="preserve">Neurodivergencia</w:t>
      </w:r>
    </w:p>
    <w:p>
      <w:pPr>
        <w:spacing w:after="60" w:before="60"/>
        <w:jc w:val="left"/>
      </w:pPr>
      <w:r>
        <w:rPr>
          <w:rFonts w:ascii="Arial" w:cs="Arial" w:eastAsia="Arial" w:hAnsi="Arial"/>
          <w:b w:val="false"/>
          <w:bCs w:val="false"/>
          <w:i w:val="false"/>
          <w:iCs w:val="false"/>
          <w:color w:val="212121"/>
          <w:sz w:val="22"/>
          <w:szCs w:val="22"/>
        </w:rPr>
        <w:t xml:space="preserve">Se dice que una persona es neurodivergente cuando su neurología difiere del patrón estadísticamente mayoritario (llamado "neurotípico") de manera que afecta —positiva o negativamente— su forma de procesar información, comunicarse, relacionarse, aprender o experimentar el entorno sensorial.</w:t>
      </w:r>
    </w:p>
    <w:p>
      <w:pPr>
        <w:spacing w:after="60" w:before="60"/>
        <w:jc w:val="left"/>
      </w:pPr>
      <w:r>
        <w:rPr>
          <w:rFonts w:ascii="Arial" w:cs="Arial" w:eastAsia="Arial" w:hAnsi="Arial"/>
          <w:b w:val="false"/>
          <w:bCs w:val="false"/>
          <w:i w:val="false"/>
          <w:iCs w:val="false"/>
          <w:color w:val="212121"/>
          <w:sz w:val="22"/>
          <w:szCs w:val="22"/>
        </w:rPr>
        <w:t xml:space="preserve">Las variaciones del neurodesarrollo más documentadas incluyen:</w:t>
      </w:r>
    </w:p>
    <w:p>
      <w:pPr>
        <w:pStyle w:val="ListParagraph"/>
        <w:numPr>
          <w:ilvl w:val="0"/>
          <w:numId w:val="2"/>
        </w:numPr>
        <w:spacing w:after="40" w:before="40"/>
      </w:pPr>
      <w:r>
        <w:rPr>
          <w:rFonts w:ascii="Arial" w:cs="Arial" w:eastAsia="Arial" w:hAnsi="Arial"/>
          <w:color w:val="212121"/>
          <w:sz w:val="22"/>
          <w:szCs w:val="22"/>
        </w:rPr>
        <w:t xml:space="preserve">Trastorno del Espectro Autista (TEA) — denominado también simplemente autismo o condición autista</w:t>
      </w:r>
    </w:p>
    <w:p>
      <w:pPr>
        <w:pStyle w:val="ListParagraph"/>
        <w:numPr>
          <w:ilvl w:val="0"/>
          <w:numId w:val="2"/>
        </w:numPr>
        <w:spacing w:after="40" w:before="40"/>
      </w:pPr>
      <w:r>
        <w:rPr>
          <w:rFonts w:ascii="Arial" w:cs="Arial" w:eastAsia="Arial" w:hAnsi="Arial"/>
          <w:color w:val="212121"/>
          <w:sz w:val="22"/>
          <w:szCs w:val="22"/>
        </w:rPr>
        <w:t xml:space="preserve">Trastorno por Déficit de Atención con o sin Hiperactividad (TDAH)</w:t>
      </w:r>
    </w:p>
    <w:p>
      <w:pPr>
        <w:pStyle w:val="ListParagraph"/>
        <w:numPr>
          <w:ilvl w:val="0"/>
          <w:numId w:val="2"/>
        </w:numPr>
        <w:spacing w:after="40" w:before="40"/>
      </w:pPr>
      <w:r>
        <w:rPr>
          <w:rFonts w:ascii="Arial" w:cs="Arial" w:eastAsia="Arial" w:hAnsi="Arial"/>
          <w:color w:val="212121"/>
          <w:sz w:val="22"/>
          <w:szCs w:val="22"/>
        </w:rPr>
        <w:t xml:space="preserve">Dislexia (diferencia en procesamiento del lenguaje escrito)</w:t>
      </w:r>
    </w:p>
    <w:p>
      <w:pPr>
        <w:pStyle w:val="ListParagraph"/>
        <w:numPr>
          <w:ilvl w:val="0"/>
          <w:numId w:val="2"/>
        </w:numPr>
        <w:spacing w:after="40" w:before="40"/>
      </w:pPr>
      <w:r>
        <w:rPr>
          <w:rFonts w:ascii="Arial" w:cs="Arial" w:eastAsia="Arial" w:hAnsi="Arial"/>
          <w:color w:val="212121"/>
          <w:sz w:val="22"/>
          <w:szCs w:val="22"/>
        </w:rPr>
        <w:t xml:space="preserve">Discalculia (diferencia en procesamiento numérico)</w:t>
      </w:r>
    </w:p>
    <w:p>
      <w:pPr>
        <w:pStyle w:val="ListParagraph"/>
        <w:numPr>
          <w:ilvl w:val="0"/>
          <w:numId w:val="2"/>
        </w:numPr>
        <w:spacing w:after="40" w:before="40"/>
      </w:pPr>
      <w:r>
        <w:rPr>
          <w:rFonts w:ascii="Arial" w:cs="Arial" w:eastAsia="Arial" w:hAnsi="Arial"/>
          <w:color w:val="212121"/>
          <w:sz w:val="22"/>
          <w:szCs w:val="22"/>
        </w:rPr>
        <w:t xml:space="preserve">Dispraxia / Trastorno del Desarrollo de la Coordinación (DCD)</w:t>
      </w:r>
    </w:p>
    <w:p>
      <w:pPr>
        <w:pStyle w:val="ListParagraph"/>
        <w:numPr>
          <w:ilvl w:val="0"/>
          <w:numId w:val="2"/>
        </w:numPr>
        <w:spacing w:after="40" w:before="40"/>
      </w:pPr>
      <w:r>
        <w:rPr>
          <w:rFonts w:ascii="Arial" w:cs="Arial" w:eastAsia="Arial" w:hAnsi="Arial"/>
          <w:color w:val="212121"/>
          <w:sz w:val="22"/>
          <w:szCs w:val="22"/>
        </w:rPr>
        <w:t xml:space="preserve">Síndrome de Tourette</w:t>
      </w:r>
    </w:p>
    <w:p>
      <w:pPr>
        <w:pStyle w:val="ListParagraph"/>
        <w:numPr>
          <w:ilvl w:val="0"/>
          <w:numId w:val="2"/>
        </w:numPr>
        <w:spacing w:after="40" w:before="40"/>
      </w:pPr>
      <w:r>
        <w:rPr>
          <w:rFonts w:ascii="Arial" w:cs="Arial" w:eastAsia="Arial" w:hAnsi="Arial"/>
          <w:color w:val="212121"/>
          <w:sz w:val="22"/>
          <w:szCs w:val="22"/>
        </w:rPr>
        <w:t xml:space="preserve">Procesamiento Sensorial Atípico (PSA)</w:t>
      </w:r>
    </w:p>
    <w:p>
      <w:pPr>
        <w:pStyle w:val="ListParagraph"/>
        <w:numPr>
          <w:ilvl w:val="0"/>
          <w:numId w:val="2"/>
        </w:numPr>
        <w:spacing w:after="40" w:before="40"/>
      </w:pPr>
      <w:r>
        <w:rPr>
          <w:rFonts w:ascii="Arial" w:cs="Arial" w:eastAsia="Arial" w:hAnsi="Arial"/>
          <w:color w:val="212121"/>
          <w:sz w:val="22"/>
          <w:szCs w:val="22"/>
        </w:rPr>
        <w:t xml:space="preserve">Altas capacidades / Superdotación</w:t>
      </w:r>
    </w:p>
    <w:p>
      <w:pPr>
        <w:pStyle w:val="ListParagraph"/>
        <w:numPr>
          <w:ilvl w:val="0"/>
          <w:numId w:val="2"/>
        </w:numPr>
        <w:spacing w:after="40" w:before="40"/>
      </w:pPr>
      <w:r>
        <w:rPr>
          <w:rFonts w:ascii="Arial" w:cs="Arial" w:eastAsia="Arial" w:hAnsi="Arial"/>
          <w:color w:val="212121"/>
          <w:sz w:val="22"/>
          <w:szCs w:val="22"/>
        </w:rPr>
        <w:t xml:space="preserve">Síndrome de Down y otras variaciones cromosómicas</w:t>
      </w:r>
    </w:p>
    <w:p>
      <w:pPr>
        <w:pStyle w:val="ListParagraph"/>
        <w:numPr>
          <w:ilvl w:val="0"/>
          <w:numId w:val="2"/>
        </w:numPr>
        <w:spacing w:after="40" w:before="40"/>
      </w:pPr>
      <w:r>
        <w:rPr>
          <w:rFonts w:ascii="Arial" w:cs="Arial" w:eastAsia="Arial" w:hAnsi="Arial"/>
          <w:color w:val="212121"/>
          <w:sz w:val="22"/>
          <w:szCs w:val="22"/>
        </w:rPr>
        <w:t xml:space="preserve">Cualquier otra condición neurológica congénita o del desarrollo</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0DAD" w:sz="1"/>
              <w:left w:val="single" w:color="6A0DAD" w:sz="1"/>
              <w:bottom w:val="single" w:color="6A0DAD" w:sz="1"/>
              <w:right w:val="single" w:color="6A0DAD" w:sz="1"/>
            </w:tcBorders>
            <w:shd w:fill="6A0DAD" w:val="clear"/>
            <w:tcMar>
              <w:top w:type="dxa" w:w="100"/>
              <w:left w:type="dxa" w:w="160"/>
              <w:bottom w:type="dxa" w:w="100"/>
              <w:right w:type="dxa" w:w="160"/>
            </w:tcMar>
          </w:tcPr>
          <w:p>
            <w:pPr>
              <w:jc w:val="left"/>
            </w:pPr>
            <w:r>
              <w:rPr>
                <w:rFonts w:ascii="Arial" w:cs="Arial" w:eastAsia="Arial" w:hAnsi="Arial"/>
                <w:b/>
                <w:bCs/>
                <w:color w:val="FFFFFF"/>
                <w:sz w:val="24"/>
                <w:szCs w:val="24"/>
              </w:rPr>
              <w:t xml:space="preserve">NOTA IMPORTANTE: Lenguaje neuroafirmativo</w:t>
            </w:r>
          </w:p>
        </w:tc>
      </w:tr>
      <w:tr>
        <w:tc>
          <w:tcPr>
            <w:tcBorders>
              <w:top w:val="single" w:color="6A0DAD" w:sz="1"/>
              <w:left w:val="single" w:color="6A0DAD" w:sz="1"/>
              <w:bottom w:val="single" w:color="6A0DAD" w:sz="1"/>
              <w:right w:val="single" w:color="6A0DAD" w:sz="1"/>
            </w:tcBorders>
            <w:shd w:fill="EDE7F6" w:val="clear"/>
            <w:tcMar>
              <w:top w:type="dxa" w:w="80"/>
              <w:left w:type="dxa" w:w="160"/>
              <w:bottom w:type="dxa" w:w="80"/>
              <w:right w:type="dxa" w:w="160"/>
            </w:tcMar>
          </w:tcPr>
          <w:p>
            <w:r>
              <w:rPr>
                <w:rFonts w:ascii="Arial" w:cs="Arial" w:eastAsia="Arial" w:hAnsi="Arial"/>
                <w:color w:val="212121"/>
                <w:sz w:val="22"/>
                <w:szCs w:val="22"/>
              </w:rPr>
              <w:t xml:space="preserve">Este curso usa lenguaje neuroafirmativo en todo momento.</w:t>
            </w:r>
          </w:p>
        </w:tc>
      </w:tr>
      <w:tr>
        <w:tc>
          <w:tcPr>
            <w:tcBorders>
              <w:top w:val="single" w:color="6A0DAD" w:sz="1"/>
              <w:left w:val="single" w:color="6A0DAD" w:sz="1"/>
              <w:bottom w:val="single" w:color="6A0DAD" w:sz="1"/>
              <w:right w:val="single" w:color="6A0DAD" w:sz="1"/>
            </w:tcBorders>
            <w:shd w:fill="EDE7F6" w:val="clear"/>
            <w:tcMar>
              <w:top w:type="dxa" w:w="80"/>
              <w:left w:type="dxa" w:w="160"/>
              <w:bottom w:type="dxa" w:w="80"/>
              <w:right w:type="dxa" w:w="160"/>
            </w:tcMar>
          </w:tcPr>
          <w:p>
            <w:r>
              <w:rPr>
                <w:rFonts w:ascii="Arial" w:cs="Arial" w:eastAsia="Arial" w:hAnsi="Arial"/>
                <w:color w:val="212121"/>
                <w:sz w:val="22"/>
                <w:szCs w:val="22"/>
              </w:rPr>
              <w:t xml:space="preserve">— Decimos "condición autista" o "persona autista", NO "persona con autismo" (que reduce la identidad a una condición médica).</w:t>
            </w:r>
          </w:p>
        </w:tc>
      </w:tr>
      <w:tr>
        <w:tc>
          <w:tcPr>
            <w:tcBorders>
              <w:top w:val="single" w:color="6A0DAD" w:sz="1"/>
              <w:left w:val="single" w:color="6A0DAD" w:sz="1"/>
              <w:bottom w:val="single" w:color="6A0DAD" w:sz="1"/>
              <w:right w:val="single" w:color="6A0DAD" w:sz="1"/>
            </w:tcBorders>
            <w:shd w:fill="EDE7F6" w:val="clear"/>
            <w:tcMar>
              <w:top w:type="dxa" w:w="80"/>
              <w:left w:type="dxa" w:w="160"/>
              <w:bottom w:type="dxa" w:w="80"/>
              <w:right w:type="dxa" w:w="160"/>
            </w:tcMar>
          </w:tcPr>
          <w:p>
            <w:r>
              <w:rPr>
                <w:rFonts w:ascii="Arial" w:cs="Arial" w:eastAsia="Arial" w:hAnsi="Arial"/>
                <w:color w:val="212121"/>
                <w:sz w:val="22"/>
                <w:szCs w:val="22"/>
              </w:rPr>
              <w:t xml:space="preserve">— Decimos "variación del neurodesarrollo", NO "trastorno" o "déficit".</w:t>
            </w:r>
          </w:p>
        </w:tc>
      </w:tr>
      <w:tr>
        <w:tc>
          <w:tcPr>
            <w:tcBorders>
              <w:top w:val="single" w:color="6A0DAD" w:sz="1"/>
              <w:left w:val="single" w:color="6A0DAD" w:sz="1"/>
              <w:bottom w:val="single" w:color="6A0DAD" w:sz="1"/>
              <w:right w:val="single" w:color="6A0DAD" w:sz="1"/>
            </w:tcBorders>
            <w:shd w:fill="EDE7F6" w:val="clear"/>
            <w:tcMar>
              <w:top w:type="dxa" w:w="80"/>
              <w:left w:type="dxa" w:w="160"/>
              <w:bottom w:type="dxa" w:w="80"/>
              <w:right w:type="dxa" w:w="160"/>
            </w:tcMar>
          </w:tcPr>
          <w:p>
            <w:r>
              <w:rPr>
                <w:rFonts w:ascii="Arial" w:cs="Arial" w:eastAsia="Arial" w:hAnsi="Arial"/>
                <w:color w:val="212121"/>
                <w:sz w:val="22"/>
                <w:szCs w:val="22"/>
              </w:rPr>
              <w:t xml:space="preserve">— Decimos "neurodivergente", NO "con capacidades diferentes" ni "especial".</w:t>
            </w:r>
          </w:p>
        </w:tc>
      </w:tr>
      <w:tr>
        <w:tc>
          <w:tcPr>
            <w:tcBorders>
              <w:top w:val="single" w:color="6A0DAD" w:sz="1"/>
              <w:left w:val="single" w:color="6A0DAD" w:sz="1"/>
              <w:bottom w:val="single" w:color="6A0DAD" w:sz="1"/>
              <w:right w:val="single" w:color="6A0DAD" w:sz="1"/>
            </w:tcBorders>
            <w:shd w:fill="EDE7F6" w:val="clear"/>
            <w:tcMar>
              <w:top w:type="dxa" w:w="80"/>
              <w:left w:type="dxa" w:w="160"/>
              <w:bottom w:type="dxa" w:w="80"/>
              <w:right w:type="dxa" w:w="160"/>
            </w:tcMar>
          </w:tcPr>
          <w:p>
            <w:r>
              <w:rPr>
                <w:rFonts w:ascii="Arial" w:cs="Arial" w:eastAsia="Arial" w:hAnsi="Arial"/>
                <w:color w:val="212121"/>
                <w:sz w:val="22"/>
                <w:szCs w:val="22"/>
              </w:rPr>
              <w:t xml:space="preserve">— Nunca usamos "sufre de" o "padece" en relación con rasgos neurodivergentes.</w:t>
            </w:r>
          </w:p>
        </w:tc>
      </w:tr>
    </w:tbl>
    <w:p>
      <w:pPr>
        <w:spacing w:after="120" w:before="0"/>
      </w:pPr>
      <w:r>
        <w:t xml:space="preserve"/>
      </w:r>
    </w:p>
    <w:p>
      <w:pPr>
        <w:pStyle w:val="Heading3"/>
        <w:spacing w:after="120" w:before="240"/>
      </w:pPr>
      <w:r>
        <w:rPr>
          <w:rFonts w:ascii="Arial" w:cs="Arial" w:eastAsia="Arial" w:hAnsi="Arial"/>
          <w:b/>
          <w:bCs/>
          <w:color w:val="1565C0"/>
          <w:sz w:val="26"/>
          <w:szCs w:val="26"/>
        </w:rPr>
        <w:t xml:space="preserve">Neurotipicidad</w:t>
      </w:r>
    </w:p>
    <w:p>
      <w:pPr>
        <w:spacing w:after="60" w:before="60"/>
        <w:jc w:val="left"/>
      </w:pPr>
      <w:r>
        <w:rPr>
          <w:rFonts w:ascii="Arial" w:cs="Arial" w:eastAsia="Arial" w:hAnsi="Arial"/>
          <w:b w:val="false"/>
          <w:bCs w:val="false"/>
          <w:i w:val="false"/>
          <w:iCs w:val="false"/>
          <w:color w:val="212121"/>
          <w:sz w:val="22"/>
          <w:szCs w:val="22"/>
        </w:rPr>
        <w:t xml:space="preserve">Una persona neurotípica es aquella cuya neurología sigue el patrón estadísticamente dominante. Es un término descriptivo, no un elogio. El mundo está mayoritariamente diseñado para personas neurotípicas, lo que genera barreras sistemáticas para personas neurodivergentes.</w:t>
      </w:r>
    </w:p>
    <w:p>
      <w:pPr>
        <w:pStyle w:val="Heading2"/>
        <w:spacing w:after="180" w:before="360"/>
      </w:pPr>
      <w:r>
        <w:rPr>
          <w:rFonts w:ascii="Arial" w:cs="Arial" w:eastAsia="Arial" w:hAnsi="Arial"/>
          <w:b/>
          <w:bCs/>
          <w:color w:val="6A0DAD"/>
          <w:sz w:val="32"/>
          <w:szCs w:val="32"/>
        </w:rPr>
        <w:t xml:space="preserve">1.2 El paradigma neuroafirmativo</w:t>
      </w:r>
    </w:p>
    <w:p>
      <w:pPr>
        <w:spacing w:after="60" w:before="60"/>
        <w:jc w:val="left"/>
      </w:pPr>
      <w:r>
        <w:rPr>
          <w:rFonts w:ascii="Arial" w:cs="Arial" w:eastAsia="Arial" w:hAnsi="Arial"/>
          <w:b w:val="false"/>
          <w:bCs w:val="false"/>
          <w:i w:val="false"/>
          <w:iCs w:val="false"/>
          <w:color w:val="212121"/>
          <w:sz w:val="22"/>
          <w:szCs w:val="22"/>
        </w:rPr>
        <w:t xml:space="preserve">El paradigma neuroafirmativo reemplaza al modelo médico-patologizante que durante décadas dominó la comprensión de la neurodivergencia. La diferencia es fundamental: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Modelo médico-patologizante</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La neurodivergencia es un déficit a diagnosticar, tratar y normalizar. El objetivo es que la persona neurodivergente "funcione" lo más parecido posible a una persona neurotípica.</w:t>
            </w:r>
          </w:p>
        </w:tc>
      </w:tr>
      <w:tr>
        <w:tc>
          <w:tcPr>
            <w:tcW w:type="dxa" w:w="30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Paradigma neuroafirmativo</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La neurodivergencia es una variación legítima del neurodesarrollo. El objetivo es adaptar el entorno a la persona, no a la persona al entorno. La diferencia no es el problema; las barreras sí lo son.</w:t>
            </w:r>
          </w:p>
        </w:tc>
      </w:tr>
    </w:tbl>
    <w:p>
      <w:pPr>
        <w:spacing w:after="120" w:before="0"/>
      </w:pPr>
      <w:r>
        <w:t xml:space="preserve"/>
      </w:r>
    </w:p>
    <w:p>
      <w:pPr>
        <w:spacing w:after="60" w:before="60"/>
        <w:jc w:val="left"/>
      </w:pPr>
      <w:r>
        <w:rPr>
          <w:rFonts w:ascii="Arial" w:cs="Arial" w:eastAsia="Arial" w:hAnsi="Arial"/>
          <w:b w:val="false"/>
          <w:bCs w:val="false"/>
          <w:i w:val="false"/>
          <w:iCs w:val="false"/>
          <w:color w:val="212121"/>
          <w:sz w:val="22"/>
          <w:szCs w:val="22"/>
        </w:rPr>
        <w:t xml:space="preserve">Adoptar el paradigma neuroafirmativo tiene consecuencias prácticas inmediatas en la organización:</w:t>
      </w:r>
    </w:p>
    <w:p>
      <w:pPr>
        <w:pStyle w:val="ListParagraph"/>
        <w:numPr>
          <w:ilvl w:val="0"/>
          <w:numId w:val="3"/>
        </w:numPr>
        <w:spacing w:after="40" w:before="40"/>
      </w:pPr>
      <w:r>
        <w:rPr>
          <w:rFonts w:ascii="Arial" w:cs="Arial" w:eastAsia="Arial" w:hAnsi="Arial"/>
          <w:color w:val="212121"/>
          <w:sz w:val="22"/>
          <w:szCs w:val="22"/>
        </w:rPr>
        <w:t xml:space="preserve">Los protocolos de selección de personal eliminan criterios que discriminan por perfil neurodivergente (contacto visual, respuesta en tiempo real, tolerancia al ruido).</w:t>
      </w:r>
    </w:p>
    <w:p>
      <w:pPr>
        <w:pStyle w:val="ListParagraph"/>
        <w:numPr>
          <w:ilvl w:val="0"/>
          <w:numId w:val="3"/>
        </w:numPr>
        <w:spacing w:after="40" w:before="40"/>
      </w:pPr>
      <w:r>
        <w:rPr>
          <w:rFonts w:ascii="Arial" w:cs="Arial" w:eastAsia="Arial" w:hAnsi="Arial"/>
          <w:color w:val="212121"/>
          <w:sz w:val="22"/>
          <w:szCs w:val="22"/>
        </w:rPr>
        <w:t xml:space="preserve">Los espacios se evalúan por su accesibilidad sensorial, no solo por su cumplimiento arquitectónico.</w:t>
      </w:r>
    </w:p>
    <w:p>
      <w:pPr>
        <w:pStyle w:val="ListParagraph"/>
        <w:numPr>
          <w:ilvl w:val="0"/>
          <w:numId w:val="3"/>
        </w:numPr>
        <w:spacing w:after="40" w:before="40"/>
      </w:pPr>
      <w:r>
        <w:rPr>
          <w:rFonts w:ascii="Arial" w:cs="Arial" w:eastAsia="Arial" w:hAnsi="Arial"/>
          <w:color w:val="212121"/>
          <w:sz w:val="22"/>
          <w:szCs w:val="22"/>
        </w:rPr>
        <w:t xml:space="preserve">La capacitación del equipo sustituye el lenguaje de "déficit" por lenguaje de "diferencia funcional".</w:t>
      </w:r>
    </w:p>
    <w:p>
      <w:pPr>
        <w:pStyle w:val="ListParagraph"/>
        <w:numPr>
          <w:ilvl w:val="0"/>
          <w:numId w:val="3"/>
        </w:numPr>
        <w:spacing w:after="40" w:before="40"/>
      </w:pPr>
      <w:r>
        <w:rPr>
          <w:rFonts w:ascii="Arial" w:cs="Arial" w:eastAsia="Arial" w:hAnsi="Arial"/>
          <w:color w:val="212121"/>
          <w:sz w:val="22"/>
          <w:szCs w:val="22"/>
        </w:rPr>
        <w:t xml:space="preserve">Los planes de ajuste razonable se diseñan con la persona, no para la persona.</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1.3 Stimming, masking y autorregulación</w:t>
      </w:r>
    </w:p>
    <w:p>
      <w:pPr>
        <w:pStyle w:val="Heading3"/>
        <w:spacing w:after="120" w:before="240"/>
      </w:pPr>
      <w:r>
        <w:rPr>
          <w:rFonts w:ascii="Arial" w:cs="Arial" w:eastAsia="Arial" w:hAnsi="Arial"/>
          <w:b/>
          <w:bCs/>
          <w:color w:val="1565C0"/>
          <w:sz w:val="26"/>
          <w:szCs w:val="26"/>
        </w:rPr>
        <w:t xml:space="preserve">Stimming (autoestimulación)</w:t>
      </w:r>
    </w:p>
    <w:p>
      <w:pPr>
        <w:spacing w:after="60" w:before="60"/>
        <w:jc w:val="left"/>
      </w:pPr>
      <w:r>
        <w:rPr>
          <w:rFonts w:ascii="Arial" w:cs="Arial" w:eastAsia="Arial" w:hAnsi="Arial"/>
          <w:b w:val="false"/>
          <w:bCs w:val="false"/>
          <w:i w:val="false"/>
          <w:iCs w:val="false"/>
          <w:color w:val="212121"/>
          <w:sz w:val="22"/>
          <w:szCs w:val="22"/>
        </w:rPr>
        <w:t xml:space="preserve">El stimming es cualquier comportamiento repetitivo, rítmico o sensorial que una persona neurodivergente realiza para regular su sistema nervioso. Puede ser motor (balanceo, aleteo de manos, saltar), sensorial (tocar texturas, presión profunda), vocal (tararear, repetir palabras), o visual (mirar objetos giratorios, luces).</w:t>
      </w:r>
    </w:p>
    <w:p>
      <w:pPr>
        <w:spacing w:after="60" w:before="60"/>
        <w:jc w:val="left"/>
      </w:pPr>
      <w:r>
        <w:rPr>
          <w:rFonts w:ascii="Arial" w:cs="Arial" w:eastAsia="Arial" w:hAnsi="Arial"/>
          <w:b w:val="false"/>
          <w:bCs w:val="false"/>
          <w:i w:val="false"/>
          <w:iCs w:val="false"/>
          <w:color w:val="212121"/>
          <w:sz w:val="22"/>
          <w:szCs w:val="22"/>
        </w:rPr>
        <w:t xml:space="preserve">El stimming es funcional, no problemático. Suprimirlo —mediante regaños, "corrección de conducta" o cualquier forma de presión social— produce ansiedad, desregulación y daño psicológico. El Derecho 1 de los Derechos Índigo protege explícitamente el stimming sin sanción.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95C" w:sz="1"/>
              <w:left w:val="single" w:color="00695C" w:sz="1"/>
              <w:bottom w:val="single" w:color="00695C" w:sz="1"/>
              <w:right w:val="single" w:color="00695C" w:sz="1"/>
            </w:tcBorders>
            <w:shd w:fill="00695C" w:val="clear"/>
            <w:tcMar>
              <w:top w:type="dxa" w:w="100"/>
              <w:left w:type="dxa" w:w="160"/>
              <w:bottom w:type="dxa" w:w="100"/>
              <w:right w:type="dxa" w:w="160"/>
            </w:tcMar>
          </w:tcPr>
          <w:p>
            <w:pPr>
              <w:jc w:val="left"/>
            </w:pPr>
            <w:r>
              <w:rPr>
                <w:rFonts w:ascii="Arial" w:cs="Arial" w:eastAsia="Arial" w:hAnsi="Arial"/>
                <w:b/>
                <w:bCs/>
                <w:color w:val="FFFFFF"/>
                <w:sz w:val="24"/>
                <w:szCs w:val="24"/>
              </w:rPr>
              <w:t xml:space="preserve">Protocolo CENI: Stimming en entornos laborales y de servicio</w:t>
            </w:r>
          </w:p>
        </w:tc>
      </w:tr>
      <w:tr>
        <w:tc>
          <w:tcPr>
            <w:tcBorders>
              <w:top w:val="single" w:color="00695C" w:sz="1"/>
              <w:left w:val="single" w:color="00695C" w:sz="1"/>
              <w:bottom w:val="single" w:color="00695C" w:sz="1"/>
              <w:right w:val="single" w:color="00695C" w:sz="1"/>
            </w:tcBorders>
            <w:shd w:fill="E0F2F1" w:val="clear"/>
            <w:tcMar>
              <w:top w:type="dxa" w:w="80"/>
              <w:left w:type="dxa" w:w="160"/>
              <w:bottom w:type="dxa" w:w="80"/>
              <w:right w:type="dxa" w:w="160"/>
            </w:tcMar>
          </w:tcPr>
          <w:p>
            <w:r>
              <w:rPr>
                <w:rFonts w:ascii="Arial" w:cs="Arial" w:eastAsia="Arial" w:hAnsi="Arial"/>
                <w:color w:val="212121"/>
                <w:sz w:val="22"/>
                <w:szCs w:val="22"/>
              </w:rPr>
              <w:t xml:space="preserve">1. Nunca interrumpir, corregir o comentar el stimming de una persona.</w:t>
            </w:r>
          </w:p>
        </w:tc>
      </w:tr>
      <w:tr>
        <w:tc>
          <w:tcPr>
            <w:tcBorders>
              <w:top w:val="single" w:color="00695C" w:sz="1"/>
              <w:left w:val="single" w:color="00695C" w:sz="1"/>
              <w:bottom w:val="single" w:color="00695C" w:sz="1"/>
              <w:right w:val="single" w:color="00695C" w:sz="1"/>
            </w:tcBorders>
            <w:shd w:fill="E0F2F1" w:val="clear"/>
            <w:tcMar>
              <w:top w:type="dxa" w:w="80"/>
              <w:left w:type="dxa" w:w="160"/>
              <w:bottom w:type="dxa" w:w="80"/>
              <w:right w:type="dxa" w:w="160"/>
            </w:tcMar>
          </w:tcPr>
          <w:p>
            <w:r>
              <w:rPr>
                <w:rFonts w:ascii="Arial" w:cs="Arial" w:eastAsia="Arial" w:hAnsi="Arial"/>
                <w:color w:val="212121"/>
                <w:sz w:val="22"/>
                <w:szCs w:val="22"/>
              </w:rPr>
              <w:t xml:space="preserve">2. No interpretar el stimming como señal de incomodidad, desacuerdo o falta de atención.</w:t>
            </w:r>
          </w:p>
        </w:tc>
      </w:tr>
      <w:tr>
        <w:tc>
          <w:tcPr>
            <w:tcBorders>
              <w:top w:val="single" w:color="00695C" w:sz="1"/>
              <w:left w:val="single" w:color="00695C" w:sz="1"/>
              <w:bottom w:val="single" w:color="00695C" w:sz="1"/>
              <w:right w:val="single" w:color="00695C" w:sz="1"/>
            </w:tcBorders>
            <w:shd w:fill="E0F2F1" w:val="clear"/>
            <w:tcMar>
              <w:top w:type="dxa" w:w="80"/>
              <w:left w:type="dxa" w:w="160"/>
              <w:bottom w:type="dxa" w:w="80"/>
              <w:right w:type="dxa" w:w="160"/>
            </w:tcMar>
          </w:tcPr>
          <w:p>
            <w:r>
              <w:rPr>
                <w:rFonts w:ascii="Arial" w:cs="Arial" w:eastAsia="Arial" w:hAnsi="Arial"/>
                <w:color w:val="212121"/>
                <w:sz w:val="22"/>
                <w:szCs w:val="22"/>
              </w:rPr>
              <w:t xml:space="preserve">3. Proporcionar recursos de estimulación sensorial accesibles (fidgets, cojines, zonas con texturas).</w:t>
            </w:r>
          </w:p>
        </w:tc>
      </w:tr>
      <w:tr>
        <w:tc>
          <w:tcPr>
            <w:tcBorders>
              <w:top w:val="single" w:color="00695C" w:sz="1"/>
              <w:left w:val="single" w:color="00695C" w:sz="1"/>
              <w:bottom w:val="single" w:color="00695C" w:sz="1"/>
              <w:right w:val="single" w:color="00695C" w:sz="1"/>
            </w:tcBorders>
            <w:shd w:fill="E0F2F1" w:val="clear"/>
            <w:tcMar>
              <w:top w:type="dxa" w:w="80"/>
              <w:left w:type="dxa" w:w="160"/>
              <w:bottom w:type="dxa" w:w="80"/>
              <w:right w:type="dxa" w:w="160"/>
            </w:tcMar>
          </w:tcPr>
          <w:p>
            <w:r>
              <w:rPr>
                <w:rFonts w:ascii="Arial" w:cs="Arial" w:eastAsia="Arial" w:hAnsi="Arial"/>
                <w:color w:val="212121"/>
                <w:sz w:val="22"/>
                <w:szCs w:val="22"/>
              </w:rPr>
              <w:t xml:space="preserve">4. Incluir cláusula anti-represalia por stimming en el Reglamento Interno de Neuroinclusión.</w:t>
            </w:r>
          </w:p>
        </w:tc>
      </w:tr>
    </w:tbl>
    <w:p>
      <w:pPr>
        <w:spacing w:after="120" w:before="0"/>
      </w:pPr>
      <w:r>
        <w:t xml:space="preserve"/>
      </w:r>
    </w:p>
    <w:p>
      <w:pPr>
        <w:pStyle w:val="Heading3"/>
        <w:spacing w:after="120" w:before="240"/>
      </w:pPr>
      <w:r>
        <w:rPr>
          <w:rFonts w:ascii="Arial" w:cs="Arial" w:eastAsia="Arial" w:hAnsi="Arial"/>
          <w:b/>
          <w:bCs/>
          <w:color w:val="1565C0"/>
          <w:sz w:val="26"/>
          <w:szCs w:val="26"/>
        </w:rPr>
        <w:t xml:space="preserve">Masking (enmascaramiento)</w:t>
      </w:r>
    </w:p>
    <w:p>
      <w:pPr>
        <w:spacing w:after="60" w:before="60"/>
        <w:jc w:val="left"/>
      </w:pPr>
      <w:r>
        <w:rPr>
          <w:rFonts w:ascii="Arial" w:cs="Arial" w:eastAsia="Arial" w:hAnsi="Arial"/>
          <w:b w:val="false"/>
          <w:bCs w:val="false"/>
          <w:i w:val="false"/>
          <w:iCs w:val="false"/>
          <w:color w:val="212121"/>
          <w:sz w:val="22"/>
          <w:szCs w:val="22"/>
        </w:rPr>
        <w:t xml:space="preserve">El masking es el proceso por el cual una persona neurodivergente suprime o camufla sus rasgos neurodivergentes naturales para cumplir expectativas sociales neurotípicas. Implica un esfuerzo cognitivo y emocional enorme —equivalente a actuar en un idioma extranjero todo el día— y su práctica sostenida está asociada con agotamiento severo (autistic burnout), depresión y pérdida de identidad.</w:t>
      </w:r>
    </w:p>
    <w:p>
      <w:pPr>
        <w:spacing w:after="60" w:before="60"/>
        <w:jc w:val="left"/>
      </w:pPr>
      <w:r>
        <w:rPr>
          <w:rFonts w:ascii="Arial" w:cs="Arial" w:eastAsia="Arial" w:hAnsi="Arial"/>
          <w:b w:val="false"/>
          <w:bCs w:val="false"/>
          <w:i w:val="false"/>
          <w:iCs w:val="false"/>
          <w:color w:val="212121"/>
          <w:sz w:val="22"/>
          <w:szCs w:val="22"/>
        </w:rPr>
        <w:t xml:space="preserve">CENI evalúa si los entornos promueven o exigen el masking como condición de participación. Los entornos que lo exigen no pueden certificarse, independientemente de sus puntuaciones en otras dimensiones.</w:t>
      </w:r>
    </w:p>
    <w:p>
      <w:pPr>
        <w:pStyle w:val="Heading3"/>
        <w:spacing w:after="120" w:before="240"/>
      </w:pPr>
      <w:r>
        <w:rPr>
          <w:rFonts w:ascii="Arial" w:cs="Arial" w:eastAsia="Arial" w:hAnsi="Arial"/>
          <w:b/>
          <w:bCs/>
          <w:color w:val="1565C0"/>
          <w:sz w:val="26"/>
          <w:szCs w:val="26"/>
        </w:rPr>
        <w:t xml:space="preserve">Autorregulación</w:t>
      </w:r>
    </w:p>
    <w:p>
      <w:pPr>
        <w:spacing w:after="60" w:before="60"/>
        <w:jc w:val="left"/>
      </w:pPr>
      <w:r>
        <w:rPr>
          <w:rFonts w:ascii="Arial" w:cs="Arial" w:eastAsia="Arial" w:hAnsi="Arial"/>
          <w:b w:val="false"/>
          <w:bCs w:val="false"/>
          <w:i w:val="false"/>
          <w:iCs w:val="false"/>
          <w:color w:val="212121"/>
          <w:sz w:val="22"/>
          <w:szCs w:val="22"/>
        </w:rPr>
        <w:t xml:space="preserve">La autorregulación es la capacidad de modular el estado interno (sensorial, emocional, cognitivo) para funcionar de manera efectiva en el entorno. Las personas neurodivergentes pueden tener umbrales de autorregulación diferentes: mayor sensibilidad a la sobreestimulación, mayor dificultad para recuperarse de estados de alta activación o mayor necesidad de rutina y predictibilidad.</w:t>
      </w:r>
    </w:p>
    <w:p>
      <w:pPr>
        <w:spacing w:after="60" w:before="60"/>
        <w:jc w:val="left"/>
      </w:pPr>
      <w:r>
        <w:rPr>
          <w:rFonts w:ascii="Arial" w:cs="Arial" w:eastAsia="Arial" w:hAnsi="Arial"/>
          <w:b w:val="false"/>
          <w:bCs w:val="false"/>
          <w:i w:val="false"/>
          <w:iCs w:val="false"/>
          <w:color w:val="212121"/>
          <w:sz w:val="22"/>
          <w:szCs w:val="22"/>
        </w:rPr>
        <w:t xml:space="preserve">Los entornos CENI deben diseñarse para apoyar —no obstaculizar— los procesos de autorregulación. Esto incluye zonas de calma, señalización predecible, reducción de estímulos no esenciales y tiempos de transición adecuados.</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1.4 Actividades del módulo</w:t>
      </w:r>
    </w:p>
    <w:p>
      <w:pPr>
        <w:pStyle w:val="Heading3"/>
        <w:spacing w:after="120" w:before="240"/>
      </w:pPr>
      <w:r>
        <w:rPr>
          <w:rFonts w:ascii="Arial" w:cs="Arial" w:eastAsia="Arial" w:hAnsi="Arial"/>
          <w:b/>
          <w:bCs/>
          <w:color w:val="1565C0"/>
          <w:sz w:val="26"/>
          <w:szCs w:val="26"/>
        </w:rPr>
        <w:t xml:space="preserve">Actividad 1.A — Glosario personal neuroafirmativo</w:t>
      </w:r>
    </w:p>
    <w:p>
      <w:pPr>
        <w:spacing w:after="60" w:before="60"/>
        <w:jc w:val="left"/>
      </w:pPr>
      <w:r>
        <w:rPr>
          <w:rFonts w:ascii="Arial" w:cs="Arial" w:eastAsia="Arial" w:hAnsi="Arial"/>
          <w:b w:val="false"/>
          <w:bCs w:val="false"/>
          <w:i w:val="false"/>
          <w:iCs w:val="false"/>
          <w:color w:val="212121"/>
          <w:sz w:val="22"/>
          <w:szCs w:val="22"/>
        </w:rPr>
        <w:t xml:space="preserve">Duración: 15 minutos. Individual o en parejas.</w:t>
      </w:r>
    </w:p>
    <w:p>
      <w:pPr>
        <w:spacing w:after="60" w:before="60"/>
        <w:jc w:val="left"/>
      </w:pPr>
      <w:r>
        <w:rPr>
          <w:rFonts w:ascii="Arial" w:cs="Arial" w:eastAsia="Arial" w:hAnsi="Arial"/>
          <w:b w:val="false"/>
          <w:bCs w:val="false"/>
          <w:i w:val="false"/>
          <w:iCs w:val="false"/>
          <w:color w:val="212121"/>
          <w:sz w:val="22"/>
          <w:szCs w:val="22"/>
        </w:rPr>
        <w:t xml:space="preserve">El participante revisa una lista de 20 frases comunes sobre neurodivergencia y las reescribe usando lenguaje neuroafirmativo. Ejemplo: "El niño sufre de autismo severo" → "El niño es autista y requiere apoyos de alta intensidad."</w:t>
      </w:r>
    </w:p>
    <w:p>
      <w:pPr>
        <w:pStyle w:val="Heading3"/>
        <w:spacing w:after="120" w:before="240"/>
      </w:pPr>
      <w:r>
        <w:rPr>
          <w:rFonts w:ascii="Arial" w:cs="Arial" w:eastAsia="Arial" w:hAnsi="Arial"/>
          <w:b/>
          <w:bCs/>
          <w:color w:val="1565C0"/>
          <w:sz w:val="26"/>
          <w:szCs w:val="26"/>
        </w:rPr>
        <w:t xml:space="preserve">Actividad 1.B — Mapa de mi entorno</w:t>
      </w:r>
    </w:p>
    <w:p>
      <w:pPr>
        <w:spacing w:after="60" w:before="60"/>
        <w:jc w:val="left"/>
      </w:pPr>
      <w:r>
        <w:rPr>
          <w:rFonts w:ascii="Arial" w:cs="Arial" w:eastAsia="Arial" w:hAnsi="Arial"/>
          <w:b w:val="false"/>
          <w:bCs w:val="false"/>
          <w:i w:val="false"/>
          <w:iCs w:val="false"/>
          <w:color w:val="212121"/>
          <w:sz w:val="22"/>
          <w:szCs w:val="22"/>
        </w:rPr>
        <w:t xml:space="preserve">Duración: 20 minutos. En equipos de 3-5 personas.</w:t>
      </w:r>
    </w:p>
    <w:p>
      <w:pPr>
        <w:spacing w:after="60" w:before="60"/>
        <w:jc w:val="left"/>
      </w:pPr>
      <w:r>
        <w:rPr>
          <w:rFonts w:ascii="Arial" w:cs="Arial" w:eastAsia="Arial" w:hAnsi="Arial"/>
          <w:b w:val="false"/>
          <w:bCs w:val="false"/>
          <w:i w:val="false"/>
          <w:iCs w:val="false"/>
          <w:color w:val="212121"/>
          <w:sz w:val="22"/>
          <w:szCs w:val="22"/>
        </w:rPr>
        <w:t xml:space="preserve">Cada equipo selecciona un espacio de su organización y lo analiza desde la perspectiva de una persona neurodivergente: ¿qué barreras sensoriales existen? ¿Qué situaciones podrían requerir masking? ¿Hay espacio para el stimming? Se comparten hallazgos en plenaria.</w:t>
      </w:r>
    </w:p>
    <w:p>
      <w:pPr>
        <w:pStyle w:val="Heading3"/>
        <w:spacing w:after="120" w:before="240"/>
      </w:pPr>
      <w:r>
        <w:rPr>
          <w:rFonts w:ascii="Arial" w:cs="Arial" w:eastAsia="Arial" w:hAnsi="Arial"/>
          <w:b/>
          <w:bCs/>
          <w:color w:val="1565C0"/>
          <w:sz w:val="26"/>
          <w:szCs w:val="26"/>
        </w:rPr>
        <w:t xml:space="preserve">Actividad 1.C — Reflexión: los Derechos Índigo en mi organización</w:t>
      </w:r>
    </w:p>
    <w:p>
      <w:pPr>
        <w:spacing w:after="60" w:before="60"/>
        <w:jc w:val="left"/>
      </w:pPr>
      <w:r>
        <w:rPr>
          <w:rFonts w:ascii="Arial" w:cs="Arial" w:eastAsia="Arial" w:hAnsi="Arial"/>
          <w:b w:val="false"/>
          <w:bCs w:val="false"/>
          <w:i w:val="false"/>
          <w:iCs w:val="false"/>
          <w:color w:val="212121"/>
          <w:sz w:val="22"/>
          <w:szCs w:val="22"/>
        </w:rPr>
        <w:t xml:space="preserve">El participante lee los seis Derechos Índigo y responde: ¿cuáles ya se garantizan en mi organización? ¿Cuáles se vulneran actualmente? ¿Qué cambio inmediato puedo proponer?</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1.5 Evaluación del módulo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r>
              <w:rPr>
                <w:rFonts w:ascii="Arial" w:cs="Arial" w:eastAsia="Arial" w:hAnsi="Arial"/>
                <w:b/>
                <w:bCs/>
                <w:color w:val="FFFFFF"/>
                <w:sz w:val="21"/>
                <w:szCs w:val="21"/>
              </w:rPr>
              <w:t xml:space="preserve">Componente de Evaluación</w:t>
            </w:r>
          </w:p>
        </w:tc>
        <w:tc>
          <w:tcPr>
            <w:tcW w:type="dxa" w:w="180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Tipo</w:t>
            </w:r>
          </w:p>
        </w:tc>
        <w:tc>
          <w:tcPr>
            <w:tcW w:type="dxa" w:w="180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Valor</w:t>
            </w:r>
          </w:p>
        </w:tc>
      </w:tr>
      <w:tr>
        <w:tc>
          <w:tcPr>
            <w:tcW w:type="dxa" w:w="576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r>
              <w:rPr>
                <w:rFonts w:ascii="Arial" w:cs="Arial" w:eastAsia="Arial" w:hAnsi="Arial"/>
                <w:color w:val="212121"/>
                <w:sz w:val="21"/>
                <w:szCs w:val="21"/>
              </w:rPr>
              <w:t xml:space="preserve">Quiz de 10 preguntas (definiciones y paradigma neuroafirmativo)</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color w:val="616161"/>
                <w:sz w:val="21"/>
                <w:szCs w:val="21"/>
              </w:rPr>
              <w:t xml:space="preserve">Opción múltiple</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40%</w:t>
            </w:r>
          </w:p>
        </w:tc>
      </w:tr>
      <w:tr>
        <w:tc>
          <w:tcPr>
            <w:tcW w:type="dxa" w:w="57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212121"/>
                <w:sz w:val="21"/>
                <w:szCs w:val="21"/>
              </w:rPr>
              <w:t xml:space="preserve">Actividad 1.B — Mapa del entorno (entregable escrito)</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Arial" w:cs="Arial" w:eastAsia="Arial" w:hAnsi="Arial"/>
                <w:color w:val="616161"/>
                <w:sz w:val="21"/>
                <w:szCs w:val="21"/>
              </w:rPr>
              <w:t xml:space="preserve">Práctica</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40%</w:t>
            </w:r>
          </w:p>
        </w:tc>
      </w:tr>
      <w:tr>
        <w:tc>
          <w:tcPr>
            <w:tcW w:type="dxa" w:w="576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r>
              <w:rPr>
                <w:rFonts w:ascii="Arial" w:cs="Arial" w:eastAsia="Arial" w:hAnsi="Arial"/>
                <w:color w:val="212121"/>
                <w:sz w:val="21"/>
                <w:szCs w:val="21"/>
              </w:rPr>
              <w:t xml:space="preserve">Participación en plenaria</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color w:val="616161"/>
                <w:sz w:val="21"/>
                <w:szCs w:val="21"/>
              </w:rPr>
              <w:t xml:space="preserve">Observacional</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20%</w:t>
            </w:r>
          </w:p>
        </w:tc>
      </w:tr>
    </w:tbl>
    <w:p>
      <w:pPr>
        <w:spacing w:after="60" w:before="60"/>
        <w:jc w:val="left"/>
      </w:pPr>
      <w:r>
        <w:rPr>
          <w:rFonts w:ascii="Arial" w:cs="Arial" w:eastAsia="Arial" w:hAnsi="Arial"/>
          <w:b w:val="false"/>
          <w:bCs w:val="false"/>
          <w:i/>
          <w:iCs/>
          <w:color w:val="616161"/>
          <w:sz w:val="22"/>
          <w:szCs w:val="22"/>
        </w:rPr>
        <w:t xml:space="preserve">Puntaje mínimo aprobatorio: 80%. El quiz puede repetirse hasta dos veces.</w:t>
      </w:r>
    </w:p>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B0082" w:val="clear"/>
            <w:tcMar>
              <w:top w:type="dxa" w:w="160"/>
              <w:left w:type="dxa" w:w="240"/>
              <w:bottom w:type="dxa" w:w="60"/>
              <w:right w:type="dxa" w:w="240"/>
            </w:tcMar>
          </w:tcPr>
          <w:p>
            <w:pPr>
              <w:jc w:val="left"/>
            </w:pPr>
            <w:r>
              <w:rPr>
                <w:rFonts w:ascii="Arial" w:cs="Arial" w:eastAsia="Arial" w:hAnsi="Arial"/>
                <w:b/>
                <w:bCs/>
                <w:color w:val="B39DDB"/>
                <w:sz w:val="22"/>
                <w:szCs w:val="22"/>
              </w:rPr>
              <w:t xml:space="preserve">MÓDULO 2</w:t>
            </w:r>
          </w:p>
          <w:p>
            <w:pPr>
              <w:jc w:val="left"/>
            </w:pPr>
            <w:r>
              <w:rPr>
                <w:rFonts w:ascii="Arial" w:cs="Arial" w:eastAsia="Arial" w:hAnsi="Arial"/>
                <w:b/>
                <w:bCs/>
                <w:color w:val="FFFFFF"/>
                <w:sz w:val="36"/>
                <w:szCs w:val="36"/>
              </w:rPr>
              <w:t xml:space="preserve">COMUNICACIÓN NEUROAFIRMATIVA</w:t>
            </w:r>
          </w:p>
        </w:tc>
      </w:tr>
      <w:tr>
        <w:tc>
          <w:tcPr>
            <w:tcBorders>
              <w:top w:val="none" w:color="FFFFFF" w:sz="0"/>
              <w:left w:val="none" w:color="FFFFFF" w:sz="0"/>
              <w:bottom w:val="none" w:color="FFFFFF" w:sz="0"/>
              <w:right w:val="none" w:color="FFFFFF" w:sz="0"/>
            </w:tcBorders>
            <w:shd w:fill="6A0DAD" w:val="clear"/>
            <w:tcMar>
              <w:top w:type="dxa" w:w="80"/>
              <w:left w:type="dxa" w:w="240"/>
              <w:bottom w:type="dxa" w:w="80"/>
              <w:right w:type="dxa" w:w="240"/>
            </w:tcMar>
          </w:tcPr>
          <w:p>
            <w:r>
              <w:rPr>
                <w:rFonts w:ascii="Arial" w:cs="Arial" w:eastAsia="Arial" w:hAnsi="Arial"/>
                <w:color w:val="FFFFFF"/>
                <w:sz w:val="20"/>
                <w:szCs w:val="20"/>
              </w:rPr>
              <w:t xml:space="preserve">Duración: 3 horas   Dirigido a: Todo público</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95C" w:sz="1"/>
              <w:left w:val="single" w:color="00695C" w:sz="1"/>
              <w:bottom w:val="single" w:color="00695C" w:sz="1"/>
              <w:right w:val="single" w:color="00695C" w:sz="1"/>
            </w:tcBorders>
            <w:shd w:fill="00695C" w:val="clear"/>
            <w:tcMar>
              <w:top w:type="dxa" w:w="80"/>
              <w:left w:type="dxa" w:w="160"/>
              <w:bottom w:type="dxa" w:w="80"/>
              <w:right w:type="dxa" w:w="160"/>
            </w:tcMar>
          </w:tcPr>
          <w:p>
            <w:r>
              <w:rPr>
                <w:rFonts w:ascii="Arial" w:cs="Arial" w:eastAsia="Arial" w:hAnsi="Arial"/>
                <w:b/>
                <w:bCs/>
                <w:color w:val="FFFFFF"/>
                <w:sz w:val="22"/>
                <w:szCs w:val="22"/>
              </w:rPr>
              <w:t xml:space="preserve">OBJETIVOS DEL MÓDULO</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Identificar y aplicar los principios de la comunicación neuroafirmativa en situaciones cotidianas.</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Conocer y respetar los sistemas alternativos y aumentativos de comunicación (SAAC).</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Eliminar de los protocolos internos las formas de coerción social comunicativa.</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Adaptar los tiempos de respuesta y procesamiento a las necesidades neurodivergentes.</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Elaborar scripts de comunicación accesibles para situaciones de alta demanda.</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2.1 Principios de la comunicación neuroafirmativa</w:t>
      </w:r>
    </w:p>
    <w:p>
      <w:pPr>
        <w:spacing w:after="60" w:before="60"/>
        <w:jc w:val="left"/>
      </w:pPr>
      <w:r>
        <w:rPr>
          <w:rFonts w:ascii="Arial" w:cs="Arial" w:eastAsia="Arial" w:hAnsi="Arial"/>
          <w:b w:val="false"/>
          <w:bCs w:val="false"/>
          <w:i w:val="false"/>
          <w:iCs w:val="false"/>
          <w:color w:val="212121"/>
          <w:sz w:val="22"/>
          <w:szCs w:val="22"/>
        </w:rPr>
        <w:t xml:space="preserve">La comunicación neuroafirmativa parte de un axioma fundamental: no existe una forma correcta de comunicarse. Las diferencias en comunicación no son déficits; son variaciones que el entorno debe acomodar activamente.</w:t>
      </w:r>
    </w:p>
    <w:p>
      <w:pPr>
        <w:spacing w:after="60" w:before="60"/>
        <w:jc w:val="left"/>
      </w:pPr>
      <w:r>
        <w:rPr>
          <w:rFonts w:ascii="Arial" w:cs="Arial" w:eastAsia="Arial" w:hAnsi="Arial"/>
          <w:b w:val="false"/>
          <w:bCs w:val="false"/>
          <w:i w:val="false"/>
          <w:iCs w:val="false"/>
          <w:color w:val="212121"/>
          <w:sz w:val="22"/>
          <w:szCs w:val="22"/>
        </w:rPr>
        <w:t xml:space="preserve">Los siete principios operativos de la comunicación neuroafirmativa son:</w:t>
      </w:r>
    </w:p>
    <w:p>
      <w:pPr>
        <w:pStyle w:val="ListParagraph"/>
        <w:numPr>
          <w:ilvl w:val="0"/>
          <w:numId w:val="3"/>
        </w:numPr>
        <w:spacing w:after="40" w:before="40"/>
      </w:pPr>
      <w:r>
        <w:rPr>
          <w:rFonts w:ascii="Arial" w:cs="Arial" w:eastAsia="Arial" w:hAnsi="Arial"/>
          <w:color w:val="212121"/>
          <w:sz w:val="22"/>
          <w:szCs w:val="22"/>
        </w:rPr>
        <w:t xml:space="preserve">Literalidad: use lenguaje directo, concreto y sin metáforas ambiguas. "La reunión empieza puntualmente a las 10:00" es más accesible que "lleguen tempranito".</w:t>
      </w:r>
    </w:p>
    <w:p>
      <w:pPr>
        <w:pStyle w:val="ListParagraph"/>
        <w:numPr>
          <w:ilvl w:val="0"/>
          <w:numId w:val="3"/>
        </w:numPr>
        <w:spacing w:after="40" w:before="40"/>
      </w:pPr>
      <w:r>
        <w:rPr>
          <w:rFonts w:ascii="Arial" w:cs="Arial" w:eastAsia="Arial" w:hAnsi="Arial"/>
          <w:color w:val="212121"/>
          <w:sz w:val="22"/>
          <w:szCs w:val="22"/>
        </w:rPr>
        <w:t xml:space="preserve">Predictibilidad: anticipe los cambios, la agenda y las expectativas con suficiente antelación. Los cambios de último momento generan estrés desproporcionado en personas con alta necesidad de rutina.</w:t>
      </w:r>
    </w:p>
    <w:p>
      <w:pPr>
        <w:pStyle w:val="ListParagraph"/>
        <w:numPr>
          <w:ilvl w:val="0"/>
          <w:numId w:val="3"/>
        </w:numPr>
        <w:spacing w:after="40" w:before="40"/>
      </w:pPr>
      <w:r>
        <w:rPr>
          <w:rFonts w:ascii="Arial" w:cs="Arial" w:eastAsia="Arial" w:hAnsi="Arial"/>
          <w:color w:val="212121"/>
          <w:sz w:val="22"/>
          <w:szCs w:val="22"/>
        </w:rPr>
        <w:t xml:space="preserve">Tiempo de procesamiento: respete los silencios. Una persona neurodivergente puede necesitar entre 15 y 45 segundos para procesar una pregunta y formular su respuesta. Interrumpir ese proceso o interpretar el silencio como ignorancia es una forma de discriminación comunicativa.</w:t>
      </w:r>
    </w:p>
    <w:p>
      <w:pPr>
        <w:pStyle w:val="ListParagraph"/>
        <w:numPr>
          <w:ilvl w:val="0"/>
          <w:numId w:val="3"/>
        </w:numPr>
        <w:spacing w:after="40" w:before="40"/>
      </w:pPr>
      <w:r>
        <w:rPr>
          <w:rFonts w:ascii="Arial" w:cs="Arial" w:eastAsia="Arial" w:hAnsi="Arial"/>
          <w:color w:val="212121"/>
          <w:sz w:val="22"/>
          <w:szCs w:val="22"/>
        </w:rPr>
        <w:t xml:space="preserve">Multimodalidad: ofrezca la misma información en múltiples formatos —verbal, escrito, visual, pictográfico— sin esperar que la persona solicite adaptaciones.</w:t>
      </w:r>
    </w:p>
    <w:p>
      <w:pPr>
        <w:pStyle w:val="ListParagraph"/>
        <w:numPr>
          <w:ilvl w:val="0"/>
          <w:numId w:val="3"/>
        </w:numPr>
        <w:spacing w:after="40" w:before="40"/>
      </w:pPr>
      <w:r>
        <w:rPr>
          <w:rFonts w:ascii="Arial" w:cs="Arial" w:eastAsia="Arial" w:hAnsi="Arial"/>
          <w:color w:val="212121"/>
          <w:sz w:val="22"/>
          <w:szCs w:val="22"/>
        </w:rPr>
        <w:t xml:space="preserve">Ausencia de coerción social: elimine frases como "mírame cuando te hablo", "muestra que estás escuchando", "sonríe un poco". Estas frases exigen masking como condición de comunicación y son discriminatorias.</w:t>
      </w:r>
    </w:p>
    <w:p>
      <w:pPr>
        <w:pStyle w:val="ListParagraph"/>
        <w:numPr>
          <w:ilvl w:val="0"/>
          <w:numId w:val="3"/>
        </w:numPr>
        <w:spacing w:after="40" w:before="40"/>
      </w:pPr>
      <w:r>
        <w:rPr>
          <w:rFonts w:ascii="Arial" w:cs="Arial" w:eastAsia="Arial" w:hAnsi="Arial"/>
          <w:color w:val="212121"/>
          <w:sz w:val="22"/>
          <w:szCs w:val="22"/>
        </w:rPr>
        <w:t xml:space="preserve">Consentimiento comunicativo: antes de tocar a alguien, iniciar contacto visual forzado o hacer preguntas personales, solicite permiso de manera explícita.</w:t>
      </w:r>
    </w:p>
    <w:p>
      <w:pPr>
        <w:pStyle w:val="ListParagraph"/>
        <w:numPr>
          <w:ilvl w:val="0"/>
          <w:numId w:val="3"/>
        </w:numPr>
        <w:spacing w:after="40" w:before="40"/>
      </w:pPr>
      <w:r>
        <w:rPr>
          <w:rFonts w:ascii="Arial" w:cs="Arial" w:eastAsia="Arial" w:hAnsi="Arial"/>
          <w:color w:val="212121"/>
          <w:sz w:val="22"/>
          <w:szCs w:val="22"/>
        </w:rPr>
        <w:t xml:space="preserve">Validación de la experiencia: las expresiones emocionales atípicas —reacciones intensas, ausencia de reacción, expresiones faciales no convencionales— son válidas y no requieren "corrección".</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2.2 Sistemas Alternativos y Aumentativos de Comunicación (SAAC)</w:t>
      </w:r>
    </w:p>
    <w:p>
      <w:pPr>
        <w:spacing w:after="60" w:before="60"/>
        <w:jc w:val="left"/>
      </w:pPr>
      <w:r>
        <w:rPr>
          <w:rFonts w:ascii="Arial" w:cs="Arial" w:eastAsia="Arial" w:hAnsi="Arial"/>
          <w:b w:val="false"/>
          <w:bCs w:val="false"/>
          <w:i w:val="false"/>
          <w:iCs w:val="false"/>
          <w:color w:val="212121"/>
          <w:sz w:val="22"/>
          <w:szCs w:val="22"/>
        </w:rPr>
        <w:t xml:space="preserve">Muchas personas neurodivergentes —en particular personas autistas de alta o baja intensidad de apoyos— se comunican de maneras que no incluyen el lenguaje verbal oral como canal primario. Los entornos CENI deben reconocer y facilitar: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SAAC de baja tecnología</w:t>
            </w:r>
          </w:p>
        </w:tc>
        <w:tc>
          <w:tcPr>
            <w:tcW w:type="dxa" w:w="6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Tableros de comunicación impresos, tarjetas PECS (Picture Exchange Communication System), cuadernos de comunicación, señas y gestos convencionales.</w:t>
            </w:r>
          </w:p>
        </w:tc>
      </w:tr>
      <w:tr>
        <w:tc>
          <w:tcPr>
            <w:tcW w:type="dxa" w:w="26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SAAC de alta tecnología</w:t>
            </w:r>
          </w:p>
        </w:tc>
        <w:tc>
          <w:tcPr>
            <w:tcW w:type="dxa" w:w="6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Aplicaciones de comunicación aumentativa en tablets o smartphones (Proloquo2Go, Grid, LetMeTalk, etc.), sintetizadores de voz, software de predicción de texto.</w:t>
            </w:r>
          </w:p>
        </w:tc>
      </w:tr>
      <w:tr>
        <w:tc>
          <w:tcPr>
            <w:tcW w:type="dxa" w:w="26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Comunicación escrita</w:t>
            </w:r>
          </w:p>
        </w:tc>
        <w:tc>
          <w:tcPr>
            <w:tcW w:type="dxa" w:w="6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Chat de texto, mensajes escritos, correo electrónico como canal preferente en lugar de llamadas telefónicas o reuniones verbales.</w:t>
            </w:r>
          </w:p>
        </w:tc>
      </w:tr>
      <w:tr>
        <w:tc>
          <w:tcPr>
            <w:tcW w:type="dxa" w:w="26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Comunicación simbólica</w:t>
            </w:r>
          </w:p>
        </w:tc>
        <w:tc>
          <w:tcPr>
            <w:tcW w:type="dxa" w:w="6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Pictogramas ARASAAC, sistemas de colores, señalización visual, códigos de alerta (tarjeta roja/verde/amarilla para regular la interacción).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0DAD" w:sz="1"/>
              <w:left w:val="single" w:color="6A0DAD" w:sz="1"/>
              <w:bottom w:val="single" w:color="6A0DAD" w:sz="1"/>
              <w:right w:val="single" w:color="6A0DAD" w:sz="1"/>
            </w:tcBorders>
            <w:shd w:fill="6A0DAD" w:val="clear"/>
            <w:tcMar>
              <w:top w:type="dxa" w:w="100"/>
              <w:left w:type="dxa" w:w="160"/>
              <w:bottom w:type="dxa" w:w="100"/>
              <w:right w:type="dxa" w:w="160"/>
            </w:tcMar>
          </w:tcPr>
          <w:p>
            <w:pPr>
              <w:jc w:val="left"/>
            </w:pPr>
            <w:r>
              <w:rPr>
                <w:rFonts w:ascii="Arial" w:cs="Arial" w:eastAsia="Arial" w:hAnsi="Arial"/>
                <w:b/>
                <w:bCs/>
                <w:color w:val="FFFFFF"/>
                <w:sz w:val="24"/>
                <w:szCs w:val="24"/>
              </w:rPr>
              <w:t xml:space="preserve">Criterio CENI — Comunicación accesible</w:t>
            </w:r>
          </w:p>
        </w:tc>
      </w:tr>
      <w:tr>
        <w:tc>
          <w:tcPr>
            <w:tcBorders>
              <w:top w:val="single" w:color="6A0DAD" w:sz="1"/>
              <w:left w:val="single" w:color="6A0DAD" w:sz="1"/>
              <w:bottom w:val="single" w:color="6A0DAD" w:sz="1"/>
              <w:right w:val="single" w:color="6A0DAD" w:sz="1"/>
            </w:tcBorders>
            <w:shd w:fill="EDE7F6" w:val="clear"/>
            <w:tcMar>
              <w:top w:type="dxa" w:w="80"/>
              <w:left w:type="dxa" w:w="160"/>
              <w:bottom w:type="dxa" w:w="80"/>
              <w:right w:type="dxa" w:w="160"/>
            </w:tcMar>
          </w:tcPr>
          <w:p>
            <w:r>
              <w:rPr>
                <w:rFonts w:ascii="Arial" w:cs="Arial" w:eastAsia="Arial" w:hAnsi="Arial"/>
                <w:color w:val="212121"/>
                <w:sz w:val="22"/>
                <w:szCs w:val="22"/>
              </w:rPr>
              <w:t xml:space="preserve">CENI Laboral D3-C3: Existencia de protocolos escritos de comunicación accesible para colaboradores neurodivergentes.</w:t>
            </w:r>
          </w:p>
        </w:tc>
      </w:tr>
      <w:tr>
        <w:tc>
          <w:tcPr>
            <w:tcBorders>
              <w:top w:val="single" w:color="6A0DAD" w:sz="1"/>
              <w:left w:val="single" w:color="6A0DAD" w:sz="1"/>
              <w:bottom w:val="single" w:color="6A0DAD" w:sz="1"/>
              <w:right w:val="single" w:color="6A0DAD" w:sz="1"/>
            </w:tcBorders>
            <w:shd w:fill="EDE7F6" w:val="clear"/>
            <w:tcMar>
              <w:top w:type="dxa" w:w="80"/>
              <w:left w:type="dxa" w:w="160"/>
              <w:bottom w:type="dxa" w:w="80"/>
              <w:right w:type="dxa" w:w="160"/>
            </w:tcMar>
          </w:tcPr>
          <w:p>
            <w:r>
              <w:rPr>
                <w:rFonts w:ascii="Arial" w:cs="Arial" w:eastAsia="Arial" w:hAnsi="Arial"/>
                <w:color w:val="212121"/>
                <w:sz w:val="22"/>
                <w:szCs w:val="22"/>
              </w:rPr>
              <w:t xml:space="preserve">CENI Espacios D3-C3: Disponibilidad de tableros de comunicación o SAAC en el punto de atención al público.</w:t>
            </w:r>
          </w:p>
        </w:tc>
      </w:tr>
      <w:tr>
        <w:tc>
          <w:tcPr>
            <w:tcBorders>
              <w:top w:val="single" w:color="6A0DAD" w:sz="1"/>
              <w:left w:val="single" w:color="6A0DAD" w:sz="1"/>
              <w:bottom w:val="single" w:color="6A0DAD" w:sz="1"/>
              <w:right w:val="single" w:color="6A0DAD" w:sz="1"/>
            </w:tcBorders>
            <w:shd w:fill="EDE7F6" w:val="clear"/>
            <w:tcMar>
              <w:top w:type="dxa" w:w="80"/>
              <w:left w:type="dxa" w:w="160"/>
              <w:bottom w:type="dxa" w:w="80"/>
              <w:right w:type="dxa" w:w="160"/>
            </w:tcMar>
          </w:tcPr>
          <w:p>
            <w:r>
              <w:rPr>
                <w:rFonts w:ascii="Arial" w:cs="Arial" w:eastAsia="Arial" w:hAnsi="Arial"/>
                <w:color w:val="212121"/>
                <w:sz w:val="22"/>
                <w:szCs w:val="22"/>
              </w:rPr>
              <w:t xml:space="preserve">Evidencia requerida: fotografía del material disponible + protocolo escrito de uso.</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2.3 Eliminación de coerción social comunicativa</w:t>
      </w:r>
    </w:p>
    <w:p>
      <w:pPr>
        <w:spacing w:after="60" w:before="60"/>
        <w:jc w:val="left"/>
      </w:pPr>
      <w:r>
        <w:rPr>
          <w:rFonts w:ascii="Arial" w:cs="Arial" w:eastAsia="Arial" w:hAnsi="Arial"/>
          <w:b w:val="false"/>
          <w:bCs w:val="false"/>
          <w:i w:val="false"/>
          <w:iCs w:val="false"/>
          <w:color w:val="212121"/>
          <w:sz w:val="22"/>
          <w:szCs w:val="22"/>
        </w:rPr>
        <w:t xml:space="preserve">La coerción social comunicativa es cualquier práctica que condiciona la participación, evaluación o valoración de una persona a la demostración de comportamientos comunicativos neurotípicos. Es una forma de discriminación sistemática, frecuentemente invisible para quienes la ejercen.</w:t>
      </w:r>
    </w:p>
    <w:p>
      <w:pPr>
        <w:spacing w:after="60" w:before="60"/>
        <w:jc w:val="left"/>
      </w:pPr>
      <w:r>
        <w:rPr>
          <w:rFonts w:ascii="Arial" w:cs="Arial" w:eastAsia="Arial" w:hAnsi="Arial"/>
          <w:b w:val="false"/>
          <w:bCs w:val="false"/>
          <w:i w:val="false"/>
          <w:iCs w:val="false"/>
          <w:color w:val="212121"/>
          <w:sz w:val="22"/>
          <w:szCs w:val="22"/>
        </w:rPr>
        <w:t xml:space="preserve">Ejemplos de coerción social comunicativa que DEBEN eliminarse de los protocolos internos:</w:t>
      </w:r>
    </w:p>
    <w:p>
      <w:pPr>
        <w:pStyle w:val="ListParagraph"/>
        <w:numPr>
          <w:ilvl w:val="0"/>
          <w:numId w:val="2"/>
        </w:numPr>
        <w:spacing w:after="40" w:before="40"/>
      </w:pPr>
      <w:r>
        <w:rPr>
          <w:rFonts w:ascii="Arial" w:cs="Arial" w:eastAsia="Arial" w:hAnsi="Arial"/>
          <w:color w:val="212121"/>
          <w:sz w:val="22"/>
          <w:szCs w:val="22"/>
        </w:rPr>
        <w:t xml:space="preserve">Exigir contacto visual como señal de atención, respeto o confiabilidad</w:t>
      </w:r>
    </w:p>
    <w:p>
      <w:pPr>
        <w:pStyle w:val="ListParagraph"/>
        <w:numPr>
          <w:ilvl w:val="0"/>
          <w:numId w:val="2"/>
        </w:numPr>
        <w:spacing w:after="40" w:before="40"/>
      </w:pPr>
      <w:r>
        <w:rPr>
          <w:rFonts w:ascii="Arial" w:cs="Arial" w:eastAsia="Arial" w:hAnsi="Arial"/>
          <w:color w:val="212121"/>
          <w:sz w:val="22"/>
          <w:szCs w:val="22"/>
        </w:rPr>
        <w:t xml:space="preserve">Evaluar la "actitud" de un colaborador por su tono de voz o expresión facial</w:t>
      </w:r>
    </w:p>
    <w:p>
      <w:pPr>
        <w:pStyle w:val="ListParagraph"/>
        <w:numPr>
          <w:ilvl w:val="0"/>
          <w:numId w:val="2"/>
        </w:numPr>
        <w:spacing w:after="40" w:before="40"/>
      </w:pPr>
      <w:r>
        <w:rPr>
          <w:rFonts w:ascii="Arial" w:cs="Arial" w:eastAsia="Arial" w:hAnsi="Arial"/>
          <w:color w:val="212121"/>
          <w:sz w:val="22"/>
          <w:szCs w:val="22"/>
        </w:rPr>
        <w:t xml:space="preserve">Rechazar candidatos en procesos de selección por "falta de habilidades sociales"</w:t>
      </w:r>
    </w:p>
    <w:p>
      <w:pPr>
        <w:pStyle w:val="ListParagraph"/>
        <w:numPr>
          <w:ilvl w:val="0"/>
          <w:numId w:val="2"/>
        </w:numPr>
        <w:spacing w:after="40" w:before="40"/>
      </w:pPr>
      <w:r>
        <w:rPr>
          <w:rFonts w:ascii="Arial" w:cs="Arial" w:eastAsia="Arial" w:hAnsi="Arial"/>
          <w:color w:val="212121"/>
          <w:sz w:val="22"/>
          <w:szCs w:val="22"/>
        </w:rPr>
        <w:t xml:space="preserve">Calificar como "poco participativo" a quien no interviene verbalmente en reuniones</w:t>
      </w:r>
    </w:p>
    <w:p>
      <w:pPr>
        <w:pStyle w:val="ListParagraph"/>
        <w:numPr>
          <w:ilvl w:val="0"/>
          <w:numId w:val="2"/>
        </w:numPr>
        <w:spacing w:after="40" w:before="40"/>
      </w:pPr>
      <w:r>
        <w:rPr>
          <w:rFonts w:ascii="Arial" w:cs="Arial" w:eastAsia="Arial" w:hAnsi="Arial"/>
          <w:color w:val="212121"/>
          <w:sz w:val="22"/>
          <w:szCs w:val="22"/>
        </w:rPr>
        <w:t xml:space="preserve">Interpretar la literalidad como agresividad o falta de tacto</w:t>
      </w:r>
    </w:p>
    <w:p>
      <w:pPr>
        <w:pStyle w:val="ListParagraph"/>
        <w:numPr>
          <w:ilvl w:val="0"/>
          <w:numId w:val="2"/>
        </w:numPr>
        <w:spacing w:after="40" w:before="40"/>
      </w:pPr>
      <w:r>
        <w:rPr>
          <w:rFonts w:ascii="Arial" w:cs="Arial" w:eastAsia="Arial" w:hAnsi="Arial"/>
          <w:color w:val="212121"/>
          <w:sz w:val="22"/>
          <w:szCs w:val="22"/>
        </w:rPr>
        <w:t xml:space="preserve">Requerir disponibilidad telefónica inmediata sin ofrecer alternativas escritas</w:t>
      </w:r>
    </w:p>
    <w:p>
      <w:pPr>
        <w:spacing w:after="120" w:before="0"/>
      </w:pPr>
      <w:r>
        <w:t xml:space="preserve"/>
      </w:r>
    </w:p>
    <w:p>
      <w:pPr>
        <w:pStyle w:val="Heading3"/>
        <w:spacing w:after="120" w:before="240"/>
      </w:pPr>
      <w:r>
        <w:rPr>
          <w:rFonts w:ascii="Arial" w:cs="Arial" w:eastAsia="Arial" w:hAnsi="Arial"/>
          <w:b/>
          <w:bCs/>
          <w:color w:val="1565C0"/>
          <w:sz w:val="26"/>
          <w:szCs w:val="26"/>
        </w:rPr>
        <w:t xml:space="preserve">Protocolo de adaptación comunicativa en entrevistas y evaluaciones</w:t>
      </w:r>
    </w:p>
    <w:p>
      <w:pPr>
        <w:spacing w:after="60" w:before="60"/>
        <w:jc w:val="left"/>
      </w:pPr>
      <w:r>
        <w:rPr>
          <w:rFonts w:ascii="Arial" w:cs="Arial" w:eastAsia="Arial" w:hAnsi="Arial"/>
          <w:b w:val="false"/>
          <w:bCs w:val="false"/>
          <w:i w:val="false"/>
          <w:iCs w:val="false"/>
          <w:color w:val="212121"/>
          <w:sz w:val="22"/>
          <w:szCs w:val="22"/>
        </w:rPr>
        <w:t xml:space="preserve">Todo proceso de selección, evaluación de desempeño o valoración de servicios en una organización certificada CENI debe seguir este protocolo mínimo:</w:t>
      </w:r>
    </w:p>
    <w:p>
      <w:pPr>
        <w:pStyle w:val="ListParagraph"/>
        <w:numPr>
          <w:ilvl w:val="0"/>
          <w:numId w:val="3"/>
        </w:numPr>
        <w:spacing w:after="40" w:before="40"/>
      </w:pPr>
      <w:r>
        <w:rPr>
          <w:rFonts w:ascii="Arial" w:cs="Arial" w:eastAsia="Arial" w:hAnsi="Arial"/>
          <w:color w:val="212121"/>
          <w:sz w:val="22"/>
          <w:szCs w:val="22"/>
        </w:rPr>
        <w:t xml:space="preserve">Informar con antelación (mínimo 48 horas) el formato, duración y tipo de preguntas de la evaluación.</w:t>
      </w:r>
    </w:p>
    <w:p>
      <w:pPr>
        <w:pStyle w:val="ListParagraph"/>
        <w:numPr>
          <w:ilvl w:val="0"/>
          <w:numId w:val="3"/>
        </w:numPr>
        <w:spacing w:after="40" w:before="40"/>
      </w:pPr>
      <w:r>
        <w:rPr>
          <w:rFonts w:ascii="Arial" w:cs="Arial" w:eastAsia="Arial" w:hAnsi="Arial"/>
          <w:color w:val="212121"/>
          <w:sz w:val="22"/>
          <w:szCs w:val="22"/>
        </w:rPr>
        <w:t xml:space="preserve">Ofrecer la opción de responder por escrito en lugar de verbalmente.</w:t>
      </w:r>
    </w:p>
    <w:p>
      <w:pPr>
        <w:pStyle w:val="ListParagraph"/>
        <w:numPr>
          <w:ilvl w:val="0"/>
          <w:numId w:val="3"/>
        </w:numPr>
        <w:spacing w:after="40" w:before="40"/>
      </w:pPr>
      <w:r>
        <w:rPr>
          <w:rFonts w:ascii="Arial" w:cs="Arial" w:eastAsia="Arial" w:hAnsi="Arial"/>
          <w:color w:val="212121"/>
          <w:sz w:val="22"/>
          <w:szCs w:val="22"/>
        </w:rPr>
        <w:t xml:space="preserve">Permitir el uso de apoyos visuales, notas escritas o dispositivos de comunicación.</w:t>
      </w:r>
    </w:p>
    <w:p>
      <w:pPr>
        <w:pStyle w:val="ListParagraph"/>
        <w:numPr>
          <w:ilvl w:val="0"/>
          <w:numId w:val="3"/>
        </w:numPr>
        <w:spacing w:after="40" w:before="40"/>
      </w:pPr>
      <w:r>
        <w:rPr>
          <w:rFonts w:ascii="Arial" w:cs="Arial" w:eastAsia="Arial" w:hAnsi="Arial"/>
          <w:color w:val="212121"/>
          <w:sz w:val="22"/>
          <w:szCs w:val="22"/>
        </w:rPr>
        <w:t xml:space="preserve">No penalizar el silencio, el tiempo de procesamiento extendido o las respuestas atípicas en forma.</w:t>
      </w:r>
    </w:p>
    <w:p>
      <w:pPr>
        <w:pStyle w:val="ListParagraph"/>
        <w:numPr>
          <w:ilvl w:val="0"/>
          <w:numId w:val="3"/>
        </w:numPr>
        <w:spacing w:after="40" w:before="40"/>
      </w:pPr>
      <w:r>
        <w:rPr>
          <w:rFonts w:ascii="Arial" w:cs="Arial" w:eastAsia="Arial" w:hAnsi="Arial"/>
          <w:color w:val="212121"/>
          <w:sz w:val="22"/>
          <w:szCs w:val="22"/>
        </w:rPr>
        <w:t xml:space="preserve">Incluir un evaluador capacitado en comunicación neuroafirmativa.</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2.4 Actividades del módulo</w:t>
      </w:r>
    </w:p>
    <w:p>
      <w:pPr>
        <w:pStyle w:val="Heading3"/>
        <w:spacing w:after="120" w:before="240"/>
      </w:pPr>
      <w:r>
        <w:rPr>
          <w:rFonts w:ascii="Arial" w:cs="Arial" w:eastAsia="Arial" w:hAnsi="Arial"/>
          <w:b/>
          <w:bCs/>
          <w:color w:val="1565C0"/>
          <w:sz w:val="26"/>
          <w:szCs w:val="26"/>
        </w:rPr>
        <w:t xml:space="preserve">Actividad 2.A — Auditoría de comunicación interna</w:t>
      </w:r>
    </w:p>
    <w:p>
      <w:pPr>
        <w:spacing w:after="60" w:before="60"/>
        <w:jc w:val="left"/>
      </w:pPr>
      <w:r>
        <w:rPr>
          <w:rFonts w:ascii="Arial" w:cs="Arial" w:eastAsia="Arial" w:hAnsi="Arial"/>
          <w:b w:val="false"/>
          <w:bCs w:val="false"/>
          <w:i w:val="false"/>
          <w:iCs w:val="false"/>
          <w:color w:val="212121"/>
          <w:sz w:val="22"/>
          <w:szCs w:val="22"/>
        </w:rPr>
        <w:t xml:space="preserve">El participante analiza tres documentos internos de su organización (reglamento, descripción de puesto, protocolo de atención) e identifica frases que exigen comunicación neurotípica. Propone una versión accesible de cada frase identificada.</w:t>
      </w:r>
    </w:p>
    <w:p>
      <w:pPr>
        <w:pStyle w:val="Heading3"/>
        <w:spacing w:after="120" w:before="240"/>
      </w:pPr>
      <w:r>
        <w:rPr>
          <w:rFonts w:ascii="Arial" w:cs="Arial" w:eastAsia="Arial" w:hAnsi="Arial"/>
          <w:b/>
          <w:bCs/>
          <w:color w:val="1565C0"/>
          <w:sz w:val="26"/>
          <w:szCs w:val="26"/>
        </w:rPr>
        <w:t xml:space="preserve">Actividad 2.B — Script de comunicación accesible</w:t>
      </w:r>
    </w:p>
    <w:p>
      <w:pPr>
        <w:spacing w:after="60" w:before="60"/>
        <w:jc w:val="left"/>
      </w:pPr>
      <w:r>
        <w:rPr>
          <w:rFonts w:ascii="Arial" w:cs="Arial" w:eastAsia="Arial" w:hAnsi="Arial"/>
          <w:b w:val="false"/>
          <w:bCs w:val="false"/>
          <w:i w:val="false"/>
          <w:iCs w:val="false"/>
          <w:color w:val="212121"/>
          <w:sz w:val="22"/>
          <w:szCs w:val="22"/>
        </w:rPr>
        <w:t xml:space="preserve">En parejas, los participantes diseñan un script de comunicación para tres situaciones de alta demanda: (1) informar a un cliente que habrá un cambio en el servicio, (2) dar retroalimentación negativa a un colaborador neurodivergente, (3) responder a una crisis sensorial en el área de atención al público.</w:t>
      </w:r>
    </w:p>
    <w:p>
      <w:pPr>
        <w:pStyle w:val="Heading3"/>
        <w:spacing w:after="120" w:before="240"/>
      </w:pPr>
      <w:r>
        <w:rPr>
          <w:rFonts w:ascii="Arial" w:cs="Arial" w:eastAsia="Arial" w:hAnsi="Arial"/>
          <w:b/>
          <w:bCs/>
          <w:color w:val="1565C0"/>
          <w:sz w:val="26"/>
          <w:szCs w:val="26"/>
        </w:rPr>
        <w:t xml:space="preserve">Actividad 2.C — Roleplay con tiempos de procesamiento extendidos</w:t>
      </w:r>
    </w:p>
    <w:p>
      <w:pPr>
        <w:spacing w:after="60" w:before="60"/>
        <w:jc w:val="left"/>
      </w:pPr>
      <w:r>
        <w:rPr>
          <w:rFonts w:ascii="Arial" w:cs="Arial" w:eastAsia="Arial" w:hAnsi="Arial"/>
          <w:b w:val="false"/>
          <w:bCs w:val="false"/>
          <w:i w:val="false"/>
          <w:iCs w:val="false"/>
          <w:color w:val="212121"/>
          <w:sz w:val="22"/>
          <w:szCs w:val="22"/>
        </w:rPr>
        <w:t xml:space="preserve">Un participante adopta el rol de persona con tiempo de procesamiento extendido (debe esperar 30 segundos antes de responder cualquier pregunta). El otro participa "normalmente". Reflexión: ¿cómo se sintió la espera? ¿Cuántas veces llenaste el silencio innecesariamente?</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2.5 Evaluación del módulo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r>
              <w:rPr>
                <w:rFonts w:ascii="Arial" w:cs="Arial" w:eastAsia="Arial" w:hAnsi="Arial"/>
                <w:b/>
                <w:bCs/>
                <w:color w:val="FFFFFF"/>
                <w:sz w:val="21"/>
                <w:szCs w:val="21"/>
              </w:rPr>
              <w:t xml:space="preserve">Componente de Evaluación</w:t>
            </w:r>
          </w:p>
        </w:tc>
        <w:tc>
          <w:tcPr>
            <w:tcW w:type="dxa" w:w="180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Tipo</w:t>
            </w:r>
          </w:p>
        </w:tc>
        <w:tc>
          <w:tcPr>
            <w:tcW w:type="dxa" w:w="180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Valor</w:t>
            </w:r>
          </w:p>
        </w:tc>
      </w:tr>
      <w:tr>
        <w:tc>
          <w:tcPr>
            <w:tcW w:type="dxa" w:w="576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r>
              <w:rPr>
                <w:rFonts w:ascii="Arial" w:cs="Arial" w:eastAsia="Arial" w:hAnsi="Arial"/>
                <w:color w:val="212121"/>
                <w:sz w:val="21"/>
                <w:szCs w:val="21"/>
              </w:rPr>
              <w:t xml:space="preserve">Quiz de 10 preguntas sobre principios y SAAC</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color w:val="616161"/>
                <w:sz w:val="21"/>
                <w:szCs w:val="21"/>
              </w:rPr>
              <w:t xml:space="preserve">Opción múltiple</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30%</w:t>
            </w:r>
          </w:p>
        </w:tc>
      </w:tr>
      <w:tr>
        <w:tc>
          <w:tcPr>
            <w:tcW w:type="dxa" w:w="57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212121"/>
                <w:sz w:val="21"/>
                <w:szCs w:val="21"/>
              </w:rPr>
              <w:t xml:space="preserve">Script de comunicación accesible (Actividad 2.B)</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Arial" w:cs="Arial" w:eastAsia="Arial" w:hAnsi="Arial"/>
                <w:color w:val="616161"/>
                <w:sz w:val="21"/>
                <w:szCs w:val="21"/>
              </w:rPr>
              <w:t xml:space="preserve">Práctica escrita</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50%</w:t>
            </w:r>
          </w:p>
        </w:tc>
      </w:tr>
      <w:tr>
        <w:tc>
          <w:tcPr>
            <w:tcW w:type="dxa" w:w="576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r>
              <w:rPr>
                <w:rFonts w:ascii="Arial" w:cs="Arial" w:eastAsia="Arial" w:hAnsi="Arial"/>
                <w:color w:val="212121"/>
                <w:sz w:val="21"/>
                <w:szCs w:val="21"/>
              </w:rPr>
              <w:t xml:space="preserve">Reflexión del roleplay (Actividad 2.C) — 200 palabras</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color w:val="616161"/>
                <w:sz w:val="21"/>
                <w:szCs w:val="21"/>
              </w:rPr>
              <w:t xml:space="preserve">Reflexión</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20%</w:t>
            </w:r>
          </w:p>
        </w:tc>
      </w:tr>
    </w:tbl>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B0082" w:val="clear"/>
            <w:tcMar>
              <w:top w:type="dxa" w:w="160"/>
              <w:left w:type="dxa" w:w="240"/>
              <w:bottom w:type="dxa" w:w="60"/>
              <w:right w:type="dxa" w:w="240"/>
            </w:tcMar>
          </w:tcPr>
          <w:p>
            <w:pPr>
              <w:jc w:val="left"/>
            </w:pPr>
            <w:r>
              <w:rPr>
                <w:rFonts w:ascii="Arial" w:cs="Arial" w:eastAsia="Arial" w:hAnsi="Arial"/>
                <w:b/>
                <w:bCs/>
                <w:color w:val="B39DDB"/>
                <w:sz w:val="22"/>
                <w:szCs w:val="22"/>
              </w:rPr>
              <w:t xml:space="preserve">MÓDULO 3</w:t>
            </w:r>
          </w:p>
          <w:p>
            <w:pPr>
              <w:jc w:val="left"/>
            </w:pPr>
            <w:r>
              <w:rPr>
                <w:rFonts w:ascii="Arial" w:cs="Arial" w:eastAsia="Arial" w:hAnsi="Arial"/>
                <w:b/>
                <w:bCs/>
                <w:color w:val="FFFFFF"/>
                <w:sz w:val="36"/>
                <w:szCs w:val="36"/>
              </w:rPr>
              <w:t xml:space="preserve">MANEJO DE CRISIS SENSORIALES</w:t>
            </w:r>
          </w:p>
        </w:tc>
      </w:tr>
      <w:tr>
        <w:tc>
          <w:tcPr>
            <w:tcBorders>
              <w:top w:val="none" w:color="FFFFFF" w:sz="0"/>
              <w:left w:val="none" w:color="FFFFFF" w:sz="0"/>
              <w:bottom w:val="none" w:color="FFFFFF" w:sz="0"/>
              <w:right w:val="none" w:color="FFFFFF" w:sz="0"/>
            </w:tcBorders>
            <w:shd w:fill="6A0DAD" w:val="clear"/>
            <w:tcMar>
              <w:top w:type="dxa" w:w="80"/>
              <w:left w:type="dxa" w:w="240"/>
              <w:bottom w:type="dxa" w:w="80"/>
              <w:right w:type="dxa" w:w="240"/>
            </w:tcMar>
          </w:tcPr>
          <w:p>
            <w:r>
              <w:rPr>
                <w:rFonts w:ascii="Arial" w:cs="Arial" w:eastAsia="Arial" w:hAnsi="Arial"/>
                <w:color w:val="FFFFFF"/>
                <w:sz w:val="20"/>
                <w:szCs w:val="20"/>
              </w:rPr>
              <w:t xml:space="preserve">Duración: 3 horas   Dirigido a: Todo público</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95C" w:sz="1"/>
              <w:left w:val="single" w:color="00695C" w:sz="1"/>
              <w:bottom w:val="single" w:color="00695C" w:sz="1"/>
              <w:right w:val="single" w:color="00695C" w:sz="1"/>
            </w:tcBorders>
            <w:shd w:fill="00695C" w:val="clear"/>
            <w:tcMar>
              <w:top w:type="dxa" w:w="80"/>
              <w:left w:type="dxa" w:w="160"/>
              <w:bottom w:type="dxa" w:w="80"/>
              <w:right w:type="dxa" w:w="160"/>
            </w:tcMar>
          </w:tcPr>
          <w:p>
            <w:r>
              <w:rPr>
                <w:rFonts w:ascii="Arial" w:cs="Arial" w:eastAsia="Arial" w:hAnsi="Arial"/>
                <w:b/>
                <w:bCs/>
                <w:color w:val="FFFFFF"/>
                <w:sz w:val="22"/>
                <w:szCs w:val="22"/>
              </w:rPr>
              <w:t xml:space="preserve">OBJETIVOS DEL MÓDULO</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Distinguir correctamente entre meltdown y shutdown y su etiología sensorial/emocional.</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Aplicar protocolos no punitivos de acompañamiento durante una crisis.</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Diseñar e implementar espacios de calma funcionales en el entorno de la organización.</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Ejecutar primeros auxilios emocionales neuroafirmativos con seguridad y respeto.</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Documentar incidentes sensoriales y proponer ajustes preventivos.</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3.1 Meltdown vs Shutdown</w:t>
      </w:r>
    </w:p>
    <w:p>
      <w:pPr>
        <w:spacing w:after="60" w:before="60"/>
        <w:jc w:val="left"/>
      </w:pPr>
      <w:r>
        <w:rPr>
          <w:rFonts w:ascii="Arial" w:cs="Arial" w:eastAsia="Arial" w:hAnsi="Arial"/>
          <w:b w:val="false"/>
          <w:bCs w:val="false"/>
          <w:i w:val="false"/>
          <w:iCs w:val="false"/>
          <w:color w:val="212121"/>
          <w:sz w:val="22"/>
          <w:szCs w:val="22"/>
        </w:rPr>
        <w:t xml:space="preserve">Las crisis sensoriales son respuestas neurológicas involuntarias a la sobreestimulación o sobrecarga cognitiva y emocional. No son caprichos, manipulaciones ni "berrinches". Son la respuesta del sistema nervioso cuando alcanza su límite de procesamiento. Existen dos formas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MELTDOWN (crisis de activación)</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El sistema nervioso se activa de manera explosiva: llanto intenso, gritos, movimientos no controlados, caída al suelo, autolesiones accidentales (golpear objetos o paredes, no automutilación intencional). La persona está en modo de supervivencia y no tiene acceso a la regulación racional.</w:t>
            </w:r>
          </w:p>
        </w:tc>
      </w:tr>
      <w:tr>
        <w:tc>
          <w:tcPr>
            <w:tcW w:type="dxa" w:w="28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SHUTDOWN (crisis de desconexión)</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El sistema nervioso se apaga: la persona queda inmóvil, muda, con mirada fija, sin respuesta a estímulos externos. Puede parecer que "está bien" o "ya se calmó", cuando en realidad está en un estado de colapso neurológico interno.</w:t>
            </w:r>
          </w:p>
        </w:tc>
      </w:tr>
    </w:tbl>
    <w:p>
      <w:pPr>
        <w:spacing w:after="120" w:before="0"/>
      </w:pPr>
      <w:r>
        <w:t xml:space="preserve"/>
      </w:r>
    </w:p>
    <w:p>
      <w:pPr>
        <w:spacing w:after="60" w:before="60"/>
        <w:jc w:val="left"/>
      </w:pPr>
      <w:r>
        <w:rPr>
          <w:rFonts w:ascii="Arial" w:cs="Arial" w:eastAsia="Arial" w:hAnsi="Arial"/>
          <w:b w:val="false"/>
          <w:bCs w:val="false"/>
          <w:i w:val="false"/>
          <w:iCs w:val="false"/>
          <w:color w:val="212121"/>
          <w:sz w:val="22"/>
          <w:szCs w:val="22"/>
        </w:rPr>
        <w:t xml:space="preserve">Ambos estados requieren el mismo enfoque: no intervención correctiva, reducción de estímulos, presencia calmada y espera.</w:t>
      </w:r>
    </w:p>
    <w:p>
      <w:pPr>
        <w:pStyle w:val="Heading2"/>
        <w:spacing w:after="180" w:before="360"/>
      </w:pPr>
      <w:r>
        <w:rPr>
          <w:rFonts w:ascii="Arial" w:cs="Arial" w:eastAsia="Arial" w:hAnsi="Arial"/>
          <w:b/>
          <w:bCs/>
          <w:color w:val="6A0DAD"/>
          <w:sz w:val="32"/>
          <w:szCs w:val="32"/>
        </w:rPr>
        <w:t xml:space="preserve">3.2 Protocolo de acompañamiento no punitivo</w:t>
      </w:r>
    </w:p>
    <w:p>
      <w:pPr>
        <w:spacing w:after="60" w:before="60"/>
        <w:jc w:val="left"/>
      </w:pPr>
      <w:r>
        <w:rPr>
          <w:rFonts w:ascii="Arial" w:cs="Arial" w:eastAsia="Arial" w:hAnsi="Arial"/>
          <w:b w:val="false"/>
          <w:bCs w:val="false"/>
          <w:i w:val="false"/>
          <w:iCs w:val="false"/>
          <w:color w:val="212121"/>
          <w:sz w:val="22"/>
          <w:szCs w:val="22"/>
        </w:rPr>
        <w:t xml:space="preserve">El protocolo CENI de manejo de crisis sensoriales tiene cinco fases:</w:t>
      </w:r>
    </w:p>
    <w:p>
      <w:pPr>
        <w:pStyle w:val="Heading3"/>
        <w:spacing w:after="120" w:before="240"/>
      </w:pPr>
      <w:r>
        <w:rPr>
          <w:rFonts w:ascii="Arial" w:cs="Arial" w:eastAsia="Arial" w:hAnsi="Arial"/>
          <w:b/>
          <w:bCs/>
          <w:color w:val="1565C0"/>
          <w:sz w:val="26"/>
          <w:szCs w:val="26"/>
        </w:rPr>
        <w:t xml:space="preserve">FASE 1 — Reconocimiento (antes de que escale)</w:t>
      </w:r>
    </w:p>
    <w:p>
      <w:pPr>
        <w:spacing w:after="60" w:before="60"/>
        <w:jc w:val="left"/>
      </w:pPr>
      <w:r>
        <w:rPr>
          <w:rFonts w:ascii="Arial" w:cs="Arial" w:eastAsia="Arial" w:hAnsi="Arial"/>
          <w:b w:val="false"/>
          <w:bCs w:val="false"/>
          <w:i w:val="false"/>
          <w:iCs w:val="false"/>
          <w:color w:val="212121"/>
          <w:sz w:val="22"/>
          <w:szCs w:val="22"/>
        </w:rPr>
        <w:t xml:space="preserve">Aprenda a reconocer las señales de pre-crisis en las personas de su entorno: aumento del stimming, retiro del contacto visual, cambios en la postura, verbalización repetitiva, incremento de la sensibilidad a estímulos menores. Estas señales son la ventana de oportunidad para prevenir la crisis.</w:t>
      </w:r>
    </w:p>
    <w:p>
      <w:pPr>
        <w:pStyle w:val="Heading3"/>
        <w:spacing w:after="120" w:before="240"/>
      </w:pPr>
      <w:r>
        <w:rPr>
          <w:rFonts w:ascii="Arial" w:cs="Arial" w:eastAsia="Arial" w:hAnsi="Arial"/>
          <w:b/>
          <w:bCs/>
          <w:color w:val="1565C0"/>
          <w:sz w:val="26"/>
          <w:szCs w:val="26"/>
        </w:rPr>
        <w:t xml:space="preserve">FASE 2 — Reducción inmediata de estímulos</w:t>
      </w:r>
    </w:p>
    <w:p>
      <w:pPr>
        <w:spacing w:after="60" w:before="60"/>
        <w:jc w:val="left"/>
      </w:pPr>
      <w:r>
        <w:rPr>
          <w:rFonts w:ascii="Arial" w:cs="Arial" w:eastAsia="Arial" w:hAnsi="Arial"/>
          <w:b w:val="false"/>
          <w:bCs w:val="false"/>
          <w:i w:val="false"/>
          <w:iCs w:val="false"/>
          <w:color w:val="212121"/>
          <w:sz w:val="22"/>
          <w:szCs w:val="22"/>
        </w:rPr>
        <w:t xml:space="preserve">Al identificar signos de crisis inminente o crisis activa: apague o reduzca fuentes de luz intensa; reduzca el volumen del ambiente; retire personas del espacio inmediato; detenga la conversación o instrucción en curso; ofrezca acceso al espacio de calma.</w:t>
      </w:r>
    </w:p>
    <w:p>
      <w:pPr>
        <w:pStyle w:val="Heading3"/>
        <w:spacing w:after="120" w:before="240"/>
      </w:pPr>
      <w:r>
        <w:rPr>
          <w:rFonts w:ascii="Arial" w:cs="Arial" w:eastAsia="Arial" w:hAnsi="Arial"/>
          <w:b/>
          <w:bCs/>
          <w:color w:val="1565C0"/>
          <w:sz w:val="26"/>
          <w:szCs w:val="26"/>
        </w:rPr>
        <w:t xml:space="preserve">FASE 3 — Presencia sin intervención</w:t>
      </w:r>
    </w:p>
    <w:p>
      <w:pPr>
        <w:spacing w:after="60" w:before="60"/>
        <w:jc w:val="left"/>
      </w:pPr>
      <w:r>
        <w:rPr>
          <w:rFonts w:ascii="Arial" w:cs="Arial" w:eastAsia="Arial" w:hAnsi="Arial"/>
          <w:b w:val="false"/>
          <w:bCs w:val="false"/>
          <w:i w:val="false"/>
          <w:iCs w:val="false"/>
          <w:color w:val="212121"/>
          <w:sz w:val="22"/>
          <w:szCs w:val="22"/>
        </w:rPr>
        <w:t xml:space="preserve">Permanezca cerca, sin tocar (a menos que la persona lo solicite expresamente), sin hablar (a menos que la persona lo solicite), sin hacer preguntas, sin intentar "razonar" con la persona en crisis. Recuerde: en este estado el sistema nervioso no tiene acceso a la cognición racional. La única respuesta útil es la presencia calmada y la reducción de demandas.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360C" w:sz="1"/>
              <w:left w:val="single" w:color="BF360C" w:sz="1"/>
              <w:bottom w:val="single" w:color="BF360C" w:sz="1"/>
              <w:right w:val="single" w:color="BF360C" w:sz="1"/>
            </w:tcBorders>
            <w:shd w:fill="BF360C" w:val="clear"/>
            <w:tcMar>
              <w:top w:type="dxa" w:w="100"/>
              <w:left w:type="dxa" w:w="160"/>
              <w:bottom w:type="dxa" w:w="100"/>
              <w:right w:type="dxa" w:w="160"/>
            </w:tcMar>
          </w:tcPr>
          <w:p>
            <w:pPr>
              <w:jc w:val="left"/>
            </w:pPr>
            <w:r>
              <w:rPr>
                <w:rFonts w:ascii="Arial" w:cs="Arial" w:eastAsia="Arial" w:hAnsi="Arial"/>
                <w:b/>
                <w:bCs/>
                <w:color w:val="FFFFFF"/>
                <w:sz w:val="24"/>
                <w:szCs w:val="24"/>
              </w:rPr>
              <w:t xml:space="preserve">Lo que NUNCA debe hacerse durante una crisis sensorial</w:t>
            </w:r>
          </w:p>
        </w:tc>
      </w:tr>
      <w:tr>
        <w:tc>
          <w:tcPr>
            <w:tcBorders>
              <w:top w:val="single" w:color="BF360C" w:sz="1"/>
              <w:left w:val="single" w:color="BF360C" w:sz="1"/>
              <w:bottom w:val="single" w:color="BF360C" w:sz="1"/>
              <w:right w:val="single" w:color="BF360C" w:sz="1"/>
            </w:tcBorders>
            <w:shd w:fill="FBE9E7" w:val="clear"/>
            <w:tcMar>
              <w:top w:type="dxa" w:w="80"/>
              <w:left w:type="dxa" w:w="160"/>
              <w:bottom w:type="dxa" w:w="80"/>
              <w:right w:type="dxa" w:w="160"/>
            </w:tcMar>
          </w:tcPr>
          <w:p>
            <w:r>
              <w:rPr>
                <w:rFonts w:ascii="Arial" w:cs="Arial" w:eastAsia="Arial" w:hAnsi="Arial"/>
                <w:color w:val="212121"/>
                <w:sz w:val="22"/>
                <w:szCs w:val="22"/>
              </w:rPr>
              <w:t xml:space="preserve">✗ Decir "cálmate" o "tranquilízate" — no es útil y aumenta la presión.</w:t>
            </w:r>
          </w:p>
        </w:tc>
      </w:tr>
      <w:tr>
        <w:tc>
          <w:tcPr>
            <w:tcBorders>
              <w:top w:val="single" w:color="BF360C" w:sz="1"/>
              <w:left w:val="single" w:color="BF360C" w:sz="1"/>
              <w:bottom w:val="single" w:color="BF360C" w:sz="1"/>
              <w:right w:val="single" w:color="BF360C" w:sz="1"/>
            </w:tcBorders>
            <w:shd w:fill="FBE9E7" w:val="clear"/>
            <w:tcMar>
              <w:top w:type="dxa" w:w="80"/>
              <w:left w:type="dxa" w:w="160"/>
              <w:bottom w:type="dxa" w:w="80"/>
              <w:right w:type="dxa" w:w="160"/>
            </w:tcMar>
          </w:tcPr>
          <w:p>
            <w:r>
              <w:rPr>
                <w:rFonts w:ascii="Arial" w:cs="Arial" w:eastAsia="Arial" w:hAnsi="Arial"/>
                <w:color w:val="212121"/>
                <w:sz w:val="22"/>
                <w:szCs w:val="22"/>
              </w:rPr>
              <w:t xml:space="preserve">✗ Intentar razonar, negociar o dar instrucciones durante la crisis activa.</w:t>
            </w:r>
          </w:p>
        </w:tc>
      </w:tr>
      <w:tr>
        <w:tc>
          <w:tcPr>
            <w:tcBorders>
              <w:top w:val="single" w:color="BF360C" w:sz="1"/>
              <w:left w:val="single" w:color="BF360C" w:sz="1"/>
              <w:bottom w:val="single" w:color="BF360C" w:sz="1"/>
              <w:right w:val="single" w:color="BF360C" w:sz="1"/>
            </w:tcBorders>
            <w:shd w:fill="FBE9E7" w:val="clear"/>
            <w:tcMar>
              <w:top w:type="dxa" w:w="80"/>
              <w:left w:type="dxa" w:w="160"/>
              <w:bottom w:type="dxa" w:w="80"/>
              <w:right w:type="dxa" w:w="160"/>
            </w:tcMar>
          </w:tcPr>
          <w:p>
            <w:r>
              <w:rPr>
                <w:rFonts w:ascii="Arial" w:cs="Arial" w:eastAsia="Arial" w:hAnsi="Arial"/>
                <w:color w:val="212121"/>
                <w:sz w:val="22"/>
                <w:szCs w:val="22"/>
              </w:rPr>
              <w:t xml:space="preserve">✗ Tocar a la persona sin su consentimiento previo.</w:t>
            </w:r>
          </w:p>
        </w:tc>
      </w:tr>
      <w:tr>
        <w:tc>
          <w:tcPr>
            <w:tcBorders>
              <w:top w:val="single" w:color="BF360C" w:sz="1"/>
              <w:left w:val="single" w:color="BF360C" w:sz="1"/>
              <w:bottom w:val="single" w:color="BF360C" w:sz="1"/>
              <w:right w:val="single" w:color="BF360C" w:sz="1"/>
            </w:tcBorders>
            <w:shd w:fill="FBE9E7" w:val="clear"/>
            <w:tcMar>
              <w:top w:type="dxa" w:w="80"/>
              <w:left w:type="dxa" w:w="160"/>
              <w:bottom w:type="dxa" w:w="80"/>
              <w:right w:type="dxa" w:w="160"/>
            </w:tcMar>
          </w:tcPr>
          <w:p>
            <w:r>
              <w:rPr>
                <w:rFonts w:ascii="Arial" w:cs="Arial" w:eastAsia="Arial" w:hAnsi="Arial"/>
                <w:color w:val="212121"/>
                <w:sz w:val="22"/>
                <w:szCs w:val="22"/>
              </w:rPr>
              <w:t xml:space="preserve">✗ Sacar fotografías o llamar la atención de otros sobre la crisis.</w:t>
            </w:r>
          </w:p>
        </w:tc>
      </w:tr>
      <w:tr>
        <w:tc>
          <w:tcPr>
            <w:tcBorders>
              <w:top w:val="single" w:color="BF360C" w:sz="1"/>
              <w:left w:val="single" w:color="BF360C" w:sz="1"/>
              <w:bottom w:val="single" w:color="BF360C" w:sz="1"/>
              <w:right w:val="single" w:color="BF360C" w:sz="1"/>
            </w:tcBorders>
            <w:shd w:fill="FBE9E7" w:val="clear"/>
            <w:tcMar>
              <w:top w:type="dxa" w:w="80"/>
              <w:left w:type="dxa" w:w="160"/>
              <w:bottom w:type="dxa" w:w="80"/>
              <w:right w:type="dxa" w:w="160"/>
            </w:tcMar>
          </w:tcPr>
          <w:p>
            <w:r>
              <w:rPr>
                <w:rFonts w:ascii="Arial" w:cs="Arial" w:eastAsia="Arial" w:hAnsi="Arial"/>
                <w:color w:val="212121"/>
                <w:sz w:val="22"/>
                <w:szCs w:val="22"/>
              </w:rPr>
              <w:t xml:space="preserve">✗ Aplicar consecuencias negativas posteriores a la crisis.</w:t>
            </w:r>
          </w:p>
        </w:tc>
      </w:tr>
      <w:tr>
        <w:tc>
          <w:tcPr>
            <w:tcBorders>
              <w:top w:val="single" w:color="BF360C" w:sz="1"/>
              <w:left w:val="single" w:color="BF360C" w:sz="1"/>
              <w:bottom w:val="single" w:color="BF360C" w:sz="1"/>
              <w:right w:val="single" w:color="BF360C" w:sz="1"/>
            </w:tcBorders>
            <w:shd w:fill="FBE9E7" w:val="clear"/>
            <w:tcMar>
              <w:top w:type="dxa" w:w="80"/>
              <w:left w:type="dxa" w:w="160"/>
              <w:bottom w:type="dxa" w:w="80"/>
              <w:right w:type="dxa" w:w="160"/>
            </w:tcMar>
          </w:tcPr>
          <w:p>
            <w:r>
              <w:rPr>
                <w:rFonts w:ascii="Arial" w:cs="Arial" w:eastAsia="Arial" w:hAnsi="Arial"/>
                <w:color w:val="212121"/>
                <w:sz w:val="22"/>
                <w:szCs w:val="22"/>
              </w:rPr>
              <w:t xml:space="preserve">✗ Interpretar la crisis como una conducta de manipulación o control.</w:t>
            </w:r>
          </w:p>
        </w:tc>
      </w:tr>
      <w:tr>
        <w:tc>
          <w:tcPr>
            <w:tcBorders>
              <w:top w:val="single" w:color="BF360C" w:sz="1"/>
              <w:left w:val="single" w:color="BF360C" w:sz="1"/>
              <w:bottom w:val="single" w:color="BF360C" w:sz="1"/>
              <w:right w:val="single" w:color="BF360C" w:sz="1"/>
            </w:tcBorders>
            <w:shd w:fill="FBE9E7" w:val="clear"/>
            <w:tcMar>
              <w:top w:type="dxa" w:w="80"/>
              <w:left w:type="dxa" w:w="160"/>
              <w:bottom w:type="dxa" w:w="80"/>
              <w:right w:type="dxa" w:w="160"/>
            </w:tcMar>
          </w:tcPr>
          <w:p>
            <w:r>
              <w:rPr>
                <w:rFonts w:ascii="Arial" w:cs="Arial" w:eastAsia="Arial" w:hAnsi="Arial"/>
                <w:color w:val="212121"/>
                <w:sz w:val="22"/>
                <w:szCs w:val="22"/>
              </w:rPr>
              <w:t xml:space="preserve">✗ Exigir que la persona "explique qué pasó" inmediatamente después.</w:t>
            </w:r>
          </w:p>
        </w:tc>
      </w:tr>
    </w:tbl>
    <w:p>
      <w:pPr>
        <w:spacing w:after="120" w:before="0"/>
      </w:pPr>
      <w:r>
        <w:t xml:space="preserve"/>
      </w:r>
    </w:p>
    <w:p>
      <w:pPr>
        <w:pStyle w:val="Heading3"/>
        <w:spacing w:after="120" w:before="240"/>
      </w:pPr>
      <w:r>
        <w:rPr>
          <w:rFonts w:ascii="Arial" w:cs="Arial" w:eastAsia="Arial" w:hAnsi="Arial"/>
          <w:b/>
          <w:bCs/>
          <w:color w:val="1565C0"/>
          <w:sz w:val="26"/>
          <w:szCs w:val="26"/>
        </w:rPr>
        <w:t xml:space="preserve">FASE 4 — Primeros auxilios emocionales</w:t>
      </w:r>
    </w:p>
    <w:p>
      <w:pPr>
        <w:spacing w:after="60" w:before="60"/>
        <w:jc w:val="left"/>
      </w:pPr>
      <w:r>
        <w:rPr>
          <w:rFonts w:ascii="Arial" w:cs="Arial" w:eastAsia="Arial" w:hAnsi="Arial"/>
          <w:b w:val="false"/>
          <w:bCs w:val="false"/>
          <w:i w:val="false"/>
          <w:iCs w:val="false"/>
          <w:color w:val="212121"/>
          <w:sz w:val="22"/>
          <w:szCs w:val="22"/>
        </w:rPr>
        <w:t xml:space="preserve">Una vez que la crisis ha disminuido (la persona comienza a recuperar contacto, responde a su nombre, su respiración se regulariza), aplique primeros auxilios emocionales neuroafirmativos:</w:t>
      </w:r>
    </w:p>
    <w:p>
      <w:pPr>
        <w:pStyle w:val="ListParagraph"/>
        <w:numPr>
          <w:ilvl w:val="0"/>
          <w:numId w:val="3"/>
        </w:numPr>
        <w:spacing w:after="40" w:before="40"/>
      </w:pPr>
      <w:r>
        <w:rPr>
          <w:rFonts w:ascii="Arial" w:cs="Arial" w:eastAsia="Arial" w:hAnsi="Arial"/>
          <w:color w:val="212121"/>
          <w:sz w:val="22"/>
          <w:szCs w:val="22"/>
        </w:rPr>
        <w:t xml:space="preserve">Ofrezca agua o algo de comer si es pertinente (la regulación metabólica apoya la recuperación).</w:t>
      </w:r>
    </w:p>
    <w:p>
      <w:pPr>
        <w:pStyle w:val="ListParagraph"/>
        <w:numPr>
          <w:ilvl w:val="0"/>
          <w:numId w:val="3"/>
        </w:numPr>
        <w:spacing w:after="40" w:before="40"/>
      </w:pPr>
      <w:r>
        <w:rPr>
          <w:rFonts w:ascii="Arial" w:cs="Arial" w:eastAsia="Arial" w:hAnsi="Arial"/>
          <w:color w:val="212121"/>
          <w:sz w:val="22"/>
          <w:szCs w:val="22"/>
        </w:rPr>
        <w:t xml:space="preserve">Pregunte con voz suave: "¿Hay algo que puedas necesitar ahora mismo?" Respete si la respuesta es silencio.</w:t>
      </w:r>
    </w:p>
    <w:p>
      <w:pPr>
        <w:pStyle w:val="ListParagraph"/>
        <w:numPr>
          <w:ilvl w:val="0"/>
          <w:numId w:val="3"/>
        </w:numPr>
        <w:spacing w:after="40" w:before="40"/>
      </w:pPr>
      <w:r>
        <w:rPr>
          <w:rFonts w:ascii="Arial" w:cs="Arial" w:eastAsia="Arial" w:hAnsi="Arial"/>
          <w:color w:val="212121"/>
          <w:sz w:val="22"/>
          <w:szCs w:val="22"/>
        </w:rPr>
        <w:t xml:space="preserve">Si la persona habla, escuche sin interrumpir ni juzgar.</w:t>
      </w:r>
    </w:p>
    <w:p>
      <w:pPr>
        <w:pStyle w:val="ListParagraph"/>
        <w:numPr>
          <w:ilvl w:val="0"/>
          <w:numId w:val="3"/>
        </w:numPr>
        <w:spacing w:after="40" w:before="40"/>
      </w:pPr>
      <w:r>
        <w:rPr>
          <w:rFonts w:ascii="Arial" w:cs="Arial" w:eastAsia="Arial" w:hAnsi="Arial"/>
          <w:color w:val="212121"/>
          <w:sz w:val="22"/>
          <w:szCs w:val="22"/>
        </w:rPr>
        <w:t xml:space="preserve">No haga preguntas "¿por qué?" — prefiera "¿qué te ayudaría ahora?".</w:t>
      </w:r>
    </w:p>
    <w:p>
      <w:pPr>
        <w:pStyle w:val="ListParagraph"/>
        <w:numPr>
          <w:ilvl w:val="0"/>
          <w:numId w:val="3"/>
        </w:numPr>
        <w:spacing w:after="40" w:before="40"/>
      </w:pPr>
      <w:r>
        <w:rPr>
          <w:rFonts w:ascii="Arial" w:cs="Arial" w:eastAsia="Arial" w:hAnsi="Arial"/>
          <w:color w:val="212121"/>
          <w:sz w:val="22"/>
          <w:szCs w:val="22"/>
        </w:rPr>
        <w:t xml:space="preserve">Informe con calma si hubo algún impacto en el entorno que deba atenderse, sin culpabilizar.</w:t>
      </w:r>
    </w:p>
    <w:p>
      <w:pPr>
        <w:pStyle w:val="Heading3"/>
        <w:spacing w:after="120" w:before="240"/>
      </w:pPr>
      <w:r>
        <w:rPr>
          <w:rFonts w:ascii="Arial" w:cs="Arial" w:eastAsia="Arial" w:hAnsi="Arial"/>
          <w:b/>
          <w:bCs/>
          <w:color w:val="1565C0"/>
          <w:sz w:val="26"/>
          <w:szCs w:val="26"/>
        </w:rPr>
        <w:t xml:space="preserve">FASE 5 — Registro y ajuste ambiental</w:t>
      </w:r>
    </w:p>
    <w:p>
      <w:pPr>
        <w:spacing w:after="60" w:before="60"/>
        <w:jc w:val="left"/>
      </w:pPr>
      <w:r>
        <w:rPr>
          <w:rFonts w:ascii="Arial" w:cs="Arial" w:eastAsia="Arial" w:hAnsi="Arial"/>
          <w:b w:val="false"/>
          <w:bCs w:val="false"/>
          <w:i w:val="false"/>
          <w:iCs w:val="false"/>
          <w:color w:val="212121"/>
          <w:sz w:val="22"/>
          <w:szCs w:val="22"/>
        </w:rPr>
        <w:t xml:space="preserve">Todo incidente sensorial debe documentarse en el Registro de Incidentes Sensoriales (RIS) con: fecha, hora, espacio, posible desencadenante, duración, protocolo aplicado y propuesta de ajuste preventivo. Este registro es evidencia obligatoria para la certificación CENI.</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3.3 Diseño de espacios de calma</w:t>
      </w:r>
    </w:p>
    <w:p>
      <w:pPr>
        <w:spacing w:after="60" w:before="60"/>
        <w:jc w:val="left"/>
      </w:pPr>
      <w:r>
        <w:rPr>
          <w:rFonts w:ascii="Arial" w:cs="Arial" w:eastAsia="Arial" w:hAnsi="Arial"/>
          <w:b w:val="false"/>
          <w:bCs w:val="false"/>
          <w:i w:val="false"/>
          <w:iCs w:val="false"/>
          <w:color w:val="212121"/>
          <w:sz w:val="22"/>
          <w:szCs w:val="22"/>
        </w:rPr>
        <w:t xml:space="preserve">Un espacio de calma es un área específicamente diseñada para que personas neurodivergentes —o cualquier persona— puedan autorregularse de manera segura y sin intervención. No es un espacio de castigo ni de aislamiento: es una herramienta de accesibilidad.</w:t>
      </w:r>
    </w:p>
    <w:p>
      <w:pPr>
        <w:spacing w:after="60" w:before="60"/>
        <w:jc w:val="left"/>
      </w:pPr>
      <w:r>
        <w:rPr>
          <w:rFonts w:ascii="Arial" w:cs="Arial" w:eastAsia="Arial" w:hAnsi="Arial"/>
          <w:b w:val="false"/>
          <w:bCs w:val="false"/>
          <w:i w:val="false"/>
          <w:iCs w:val="false"/>
          <w:color w:val="212121"/>
          <w:sz w:val="22"/>
          <w:szCs w:val="22"/>
        </w:rPr>
        <w:t xml:space="preserve">Requisitos mínimos CENI para un espacio de calma certificable: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980"/>
        <w:gridCol w:w="1980"/>
      </w:tblGrid>
      <w:tr>
        <w:tc>
          <w:tcPr>
            <w:tcW w:type="dxa" w:w="6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48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Requisito</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Evidencia</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Puntos</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1</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Luz regulable o con luz natural indirecta (máximo 200 lux)</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Fotografía + luxómetro</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20</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2</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Nivel de ruido ≤ 35 dB en estado de reposo</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Medición con sonómetro</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20</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3</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Sin pantallas ni estímulos visuales en movimiento</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Fotografía</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10</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4</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Superficie de descanso (cojín, colchoneta, asiento con respaldo)</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Fotografía</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15</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5</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Recursos sensoriales disponibles (fidgets, manta de peso, texturas)</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Fotografía + inventario</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20</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6</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Señalización externa que indique disponibilidad (libre/ocupado)</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Fotografía</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10</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7</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Protocolo de uso publicado y accesible</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Documento + fotografía</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15</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8</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Acceso libre: cualquier persona puede acceder sin pedir permiso</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Política escrita</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20</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3.4 Actividades del módulo</w:t>
      </w:r>
    </w:p>
    <w:p>
      <w:pPr>
        <w:pStyle w:val="Heading3"/>
        <w:spacing w:after="120" w:before="240"/>
      </w:pPr>
      <w:r>
        <w:rPr>
          <w:rFonts w:ascii="Arial" w:cs="Arial" w:eastAsia="Arial" w:hAnsi="Arial"/>
          <w:b/>
          <w:bCs/>
          <w:color w:val="1565C0"/>
          <w:sz w:val="26"/>
          <w:szCs w:val="26"/>
        </w:rPr>
        <w:t xml:space="preserve">Actividad 3.A — Simulacro de crisis sensorial</w:t>
      </w:r>
    </w:p>
    <w:p>
      <w:pPr>
        <w:spacing w:after="60" w:before="60"/>
        <w:jc w:val="left"/>
      </w:pPr>
      <w:r>
        <w:rPr>
          <w:rFonts w:ascii="Arial" w:cs="Arial" w:eastAsia="Arial" w:hAnsi="Arial"/>
          <w:b w:val="false"/>
          <w:bCs w:val="false"/>
          <w:i w:val="false"/>
          <w:iCs w:val="false"/>
          <w:color w:val="212121"/>
          <w:sz w:val="22"/>
          <w:szCs w:val="22"/>
        </w:rPr>
        <w:t xml:space="preserve">Con apoyo de un facilitador, se simula una crisis de shutdown en el espacio de trabajo. El equipo debe: identificar la crisis, aplicar el protocolo, documentar el incidente. Se evalúa la respuesta del equipo y se retroalimenta.</w:t>
      </w:r>
    </w:p>
    <w:p>
      <w:pPr>
        <w:pStyle w:val="Heading3"/>
        <w:spacing w:after="120" w:before="240"/>
      </w:pPr>
      <w:r>
        <w:rPr>
          <w:rFonts w:ascii="Arial" w:cs="Arial" w:eastAsia="Arial" w:hAnsi="Arial"/>
          <w:b/>
          <w:bCs/>
          <w:color w:val="1565C0"/>
          <w:sz w:val="26"/>
          <w:szCs w:val="26"/>
        </w:rPr>
        <w:t xml:space="preserve">Actividad 3.B — Diseño de espacio de calma</w:t>
      </w:r>
    </w:p>
    <w:p>
      <w:pPr>
        <w:spacing w:after="60" w:before="60"/>
        <w:jc w:val="left"/>
      </w:pPr>
      <w:r>
        <w:rPr>
          <w:rFonts w:ascii="Arial" w:cs="Arial" w:eastAsia="Arial" w:hAnsi="Arial"/>
          <w:b w:val="false"/>
          <w:bCs w:val="false"/>
          <w:i w:val="false"/>
          <w:iCs w:val="false"/>
          <w:color w:val="212121"/>
          <w:sz w:val="22"/>
          <w:szCs w:val="22"/>
        </w:rPr>
        <w:t xml:space="preserve">El equipo identifica un espacio disponible en su organización y elabora un plano de adecuación que cumpla con los ocho requisitos CENI. Se presenta en plenaria con presupuesto estimado y cronograma de implementación.</w:t>
      </w:r>
    </w:p>
    <w:p>
      <w:pPr>
        <w:pStyle w:val="Heading3"/>
        <w:spacing w:after="120" w:before="240"/>
      </w:pPr>
      <w:r>
        <w:rPr>
          <w:rFonts w:ascii="Arial" w:cs="Arial" w:eastAsia="Arial" w:hAnsi="Arial"/>
          <w:b/>
          <w:bCs/>
          <w:color w:val="1565C0"/>
          <w:sz w:val="26"/>
          <w:szCs w:val="26"/>
        </w:rPr>
        <w:t xml:space="preserve">Actividad 3.C — Formato RIS (Registro de Incidentes Sensoriales)</w:t>
      </w:r>
    </w:p>
    <w:p>
      <w:pPr>
        <w:spacing w:after="60" w:before="60"/>
        <w:jc w:val="left"/>
      </w:pPr>
      <w:r>
        <w:rPr>
          <w:rFonts w:ascii="Arial" w:cs="Arial" w:eastAsia="Arial" w:hAnsi="Arial"/>
          <w:b w:val="false"/>
          <w:bCs w:val="false"/>
          <w:i w:val="false"/>
          <w:iCs w:val="false"/>
          <w:color w:val="212121"/>
          <w:sz w:val="22"/>
          <w:szCs w:val="22"/>
        </w:rPr>
        <w:t xml:space="preserve">El participante completa un Registro de Incidentes Sensoriales usando un caso hipotético proporcionado por el facilitador. Se evalúa la calidad y completitud del registro.</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3.5 Evaluación del módulo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r>
              <w:rPr>
                <w:rFonts w:ascii="Arial" w:cs="Arial" w:eastAsia="Arial" w:hAnsi="Arial"/>
                <w:b/>
                <w:bCs/>
                <w:color w:val="FFFFFF"/>
                <w:sz w:val="21"/>
                <w:szCs w:val="21"/>
              </w:rPr>
              <w:t xml:space="preserve">Componente de Evaluación</w:t>
            </w:r>
          </w:p>
        </w:tc>
        <w:tc>
          <w:tcPr>
            <w:tcW w:type="dxa" w:w="180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Tipo</w:t>
            </w:r>
          </w:p>
        </w:tc>
        <w:tc>
          <w:tcPr>
            <w:tcW w:type="dxa" w:w="180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Valor</w:t>
            </w:r>
          </w:p>
        </w:tc>
      </w:tr>
      <w:tr>
        <w:tc>
          <w:tcPr>
            <w:tcW w:type="dxa" w:w="576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r>
              <w:rPr>
                <w:rFonts w:ascii="Arial" w:cs="Arial" w:eastAsia="Arial" w:hAnsi="Arial"/>
                <w:color w:val="212121"/>
                <w:sz w:val="21"/>
                <w:szCs w:val="21"/>
              </w:rPr>
              <w:t xml:space="preserve">Quiz de 10 preguntas sobre meltdown, shutdown y protocolos</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color w:val="616161"/>
                <w:sz w:val="21"/>
                <w:szCs w:val="21"/>
              </w:rPr>
              <w:t xml:space="preserve">Opción múltiple</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30%</w:t>
            </w:r>
          </w:p>
        </w:tc>
      </w:tr>
      <w:tr>
        <w:tc>
          <w:tcPr>
            <w:tcW w:type="dxa" w:w="57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212121"/>
                <w:sz w:val="21"/>
                <w:szCs w:val="21"/>
              </w:rPr>
              <w:t xml:space="preserve">Simulacro de crisis — evaluación del facilitador</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Arial" w:cs="Arial" w:eastAsia="Arial" w:hAnsi="Arial"/>
                <w:color w:val="616161"/>
                <w:sz w:val="21"/>
                <w:szCs w:val="21"/>
              </w:rPr>
              <w:t xml:space="preserve">Práctica observacional</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40%</w:t>
            </w:r>
          </w:p>
        </w:tc>
      </w:tr>
      <w:tr>
        <w:tc>
          <w:tcPr>
            <w:tcW w:type="dxa" w:w="576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r>
              <w:rPr>
                <w:rFonts w:ascii="Arial" w:cs="Arial" w:eastAsia="Arial" w:hAnsi="Arial"/>
                <w:color w:val="212121"/>
                <w:sz w:val="21"/>
                <w:szCs w:val="21"/>
              </w:rPr>
              <w:t xml:space="preserve">Diseño de espacio de calma (plano + presupuesto)</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color w:val="616161"/>
                <w:sz w:val="21"/>
                <w:szCs w:val="21"/>
              </w:rPr>
              <w:t xml:space="preserve">Práctica aplicada</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30%</w:t>
            </w:r>
          </w:p>
        </w:tc>
      </w:tr>
    </w:tbl>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B0082" w:val="clear"/>
            <w:tcMar>
              <w:top w:type="dxa" w:w="160"/>
              <w:left w:type="dxa" w:w="240"/>
              <w:bottom w:type="dxa" w:w="60"/>
              <w:right w:type="dxa" w:w="240"/>
            </w:tcMar>
          </w:tcPr>
          <w:p>
            <w:pPr>
              <w:jc w:val="left"/>
            </w:pPr>
            <w:r>
              <w:rPr>
                <w:rFonts w:ascii="Arial" w:cs="Arial" w:eastAsia="Arial" w:hAnsi="Arial"/>
                <w:b/>
                <w:bCs/>
                <w:color w:val="B39DDB"/>
                <w:sz w:val="22"/>
                <w:szCs w:val="22"/>
              </w:rPr>
              <w:t xml:space="preserve">MÓDULO 4</w:t>
            </w:r>
          </w:p>
          <w:p>
            <w:pPr>
              <w:jc w:val="left"/>
            </w:pPr>
            <w:r>
              <w:rPr>
                <w:rFonts w:ascii="Arial" w:cs="Arial" w:eastAsia="Arial" w:hAnsi="Arial"/>
                <w:b/>
                <w:bCs/>
                <w:color w:val="FFFFFF"/>
                <w:sz w:val="36"/>
                <w:szCs w:val="36"/>
              </w:rPr>
              <w:t xml:space="preserve">DISEÑO UNIVERSAL Y ACCESIBILIDAD</w:t>
            </w:r>
          </w:p>
        </w:tc>
      </w:tr>
      <w:tr>
        <w:tc>
          <w:tcPr>
            <w:tcBorders>
              <w:top w:val="none" w:color="FFFFFF" w:sz="0"/>
              <w:left w:val="none" w:color="FFFFFF" w:sz="0"/>
              <w:bottom w:val="none" w:color="FFFFFF" w:sz="0"/>
              <w:right w:val="none" w:color="FFFFFF" w:sz="0"/>
            </w:tcBorders>
            <w:shd w:fill="6A0DAD" w:val="clear"/>
            <w:tcMar>
              <w:top w:type="dxa" w:w="80"/>
              <w:left w:type="dxa" w:w="240"/>
              <w:bottom w:type="dxa" w:w="80"/>
              <w:right w:type="dxa" w:w="240"/>
            </w:tcMar>
          </w:tcPr>
          <w:p>
            <w:r>
              <w:rPr>
                <w:rFonts w:ascii="Arial" w:cs="Arial" w:eastAsia="Arial" w:hAnsi="Arial"/>
                <w:color w:val="FFFFFF"/>
                <w:sz w:val="20"/>
                <w:szCs w:val="20"/>
              </w:rPr>
              <w:t xml:space="preserve">Duración: 3 horas   Dirigido a: Propietarios, gestores, arquitectos, docentes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95C" w:sz="1"/>
              <w:left w:val="single" w:color="00695C" w:sz="1"/>
              <w:bottom w:val="single" w:color="00695C" w:sz="1"/>
              <w:right w:val="single" w:color="00695C" w:sz="1"/>
            </w:tcBorders>
            <w:shd w:fill="00695C" w:val="clear"/>
            <w:tcMar>
              <w:top w:type="dxa" w:w="80"/>
              <w:left w:type="dxa" w:w="160"/>
              <w:bottom w:type="dxa" w:w="80"/>
              <w:right w:type="dxa" w:w="160"/>
            </w:tcMar>
          </w:tcPr>
          <w:p>
            <w:r>
              <w:rPr>
                <w:rFonts w:ascii="Arial" w:cs="Arial" w:eastAsia="Arial" w:hAnsi="Arial"/>
                <w:b/>
                <w:bCs/>
                <w:color w:val="FFFFFF"/>
                <w:sz w:val="22"/>
                <w:szCs w:val="22"/>
              </w:rPr>
              <w:t xml:space="preserve">OBJETIVOS DEL MÓDULO</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Aplicar los principios del Diseño Universal para el Aprendizaje (DUA) y el Diseño Universal de Servicios en entornos neurodivergentes.</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Identificar y medir umbrales cuantitativos de accesibilidad sensorial (lux, dB, temperatura, etc.).</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Diseñar señalización cognitivamente accesible para entornos de alta complejidad visual.</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Comprender y aplicar el consentimiento informado ambiental.</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Elaborar un mapa sensorial básico del entorno de la organización.</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4.1 Accesibilidad sensorial — Umbrales cuantitativos</w:t>
      </w:r>
    </w:p>
    <w:p>
      <w:pPr>
        <w:spacing w:after="60" w:before="60"/>
        <w:jc w:val="left"/>
      </w:pPr>
      <w:r>
        <w:rPr>
          <w:rFonts w:ascii="Arial" w:cs="Arial" w:eastAsia="Arial" w:hAnsi="Arial"/>
          <w:b w:val="false"/>
          <w:bCs w:val="false"/>
          <w:i w:val="false"/>
          <w:iCs w:val="false"/>
          <w:color w:val="212121"/>
          <w:sz w:val="22"/>
          <w:szCs w:val="22"/>
        </w:rPr>
        <w:t xml:space="preserve">La accesibilidad sensorial es la primera barrera que una persona neurodivergente enfrenta al entrar a cualquier espacio. Los umbrales cuantitativos son medidas objetivas que permiten evaluar si un espacio es sensorialmente accesible. CENI establece los siguientes umbrales de referencia: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4B0082" w:sz="1"/>
              <w:left w:val="single" w:color="4B0082" w:sz="1"/>
              <w:bottom w:val="single" w:color="4B0082" w:sz="1"/>
              <w:right w:val="single" w:color="4B0082"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Variable sensorial</w:t>
            </w:r>
          </w:p>
        </w:tc>
        <w:tc>
          <w:tcPr>
            <w:tcW w:type="dxa" w:w="2400"/>
            <w:tcBorders>
              <w:top w:val="single" w:color="4B0082" w:sz="1"/>
              <w:left w:val="single" w:color="4B0082" w:sz="1"/>
              <w:bottom w:val="single" w:color="4B0082" w:sz="1"/>
              <w:right w:val="single" w:color="4B0082"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Umbral mínimo</w:t>
            </w:r>
          </w:p>
        </w:tc>
        <w:tc>
          <w:tcPr>
            <w:tcW w:type="dxa" w:w="2400"/>
            <w:tcBorders>
              <w:top w:val="single" w:color="4B0082" w:sz="1"/>
              <w:left w:val="single" w:color="4B0082" w:sz="1"/>
              <w:bottom w:val="single" w:color="4B0082" w:sz="1"/>
              <w:right w:val="single" w:color="4B0082"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Umbral máximo CENI</w:t>
            </w:r>
          </w:p>
        </w:tc>
        <w:tc>
          <w:tcPr>
            <w:tcW w:type="dxa" w:w="2160"/>
            <w:tcBorders>
              <w:top w:val="single" w:color="4B0082" w:sz="1"/>
              <w:left w:val="single" w:color="4B0082" w:sz="1"/>
              <w:bottom w:val="single" w:color="4B0082" w:sz="1"/>
              <w:right w:val="single" w:color="4B0082"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Herramienta de medición</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sz w:val="19"/>
                <w:szCs w:val="19"/>
              </w:rPr>
              <w:t xml:space="preserve">Iluminación — áreas de trabajo</w:t>
            </w:r>
          </w:p>
        </w:tc>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jc w:val="center"/>
            </w:pPr>
            <w:r>
              <w:rPr>
                <w:rFonts w:ascii="Arial" w:cs="Arial" w:eastAsia="Arial" w:hAnsi="Arial"/>
                <w:sz w:val="19"/>
                <w:szCs w:val="19"/>
              </w:rPr>
              <w:t xml:space="preserve">300 lux</w:t>
            </w:r>
          </w:p>
        </w:tc>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jc w:val="center"/>
            </w:pPr>
            <w:r>
              <w:rPr>
                <w:rFonts w:ascii="Arial" w:cs="Arial" w:eastAsia="Arial" w:hAnsi="Arial"/>
                <w:sz w:val="19"/>
                <w:szCs w:val="19"/>
              </w:rPr>
              <w:t xml:space="preserve">500 lux</w:t>
            </w:r>
          </w:p>
        </w:tc>
        <w:tc>
          <w:tcPr>
            <w:tcW w:type="dxa" w:w="2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sz w:val="19"/>
                <w:szCs w:val="19"/>
              </w:rPr>
              <w:t xml:space="preserve">Luxómetro digital</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sz w:val="19"/>
                <w:szCs w:val="19"/>
              </w:rPr>
              <w:t xml:space="preserve">Iluminación — espacios de calma</w:t>
            </w:r>
          </w:p>
        </w:tc>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50 lux</w:t>
            </w:r>
          </w:p>
        </w:tc>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200 lux</w:t>
            </w:r>
          </w:p>
        </w:tc>
        <w:tc>
          <w:tcPr>
            <w:tcW w:type="dxa" w:w="2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sz w:val="19"/>
                <w:szCs w:val="19"/>
              </w:rPr>
              <w:t xml:space="preserve">Luxómetro digital</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sz w:val="19"/>
                <w:szCs w:val="19"/>
              </w:rPr>
              <w:t xml:space="preserve">Iluminación — pasillos</w:t>
            </w:r>
          </w:p>
        </w:tc>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jc w:val="center"/>
            </w:pPr>
            <w:r>
              <w:rPr>
                <w:rFonts w:ascii="Arial" w:cs="Arial" w:eastAsia="Arial" w:hAnsi="Arial"/>
                <w:sz w:val="19"/>
                <w:szCs w:val="19"/>
              </w:rPr>
              <w:t xml:space="preserve">100 lux</w:t>
            </w:r>
          </w:p>
        </w:tc>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jc w:val="center"/>
            </w:pPr>
            <w:r>
              <w:rPr>
                <w:rFonts w:ascii="Arial" w:cs="Arial" w:eastAsia="Arial" w:hAnsi="Arial"/>
                <w:sz w:val="19"/>
                <w:szCs w:val="19"/>
              </w:rPr>
              <w:t xml:space="preserve">300 lux</w:t>
            </w:r>
          </w:p>
        </w:tc>
        <w:tc>
          <w:tcPr>
            <w:tcW w:type="dxa" w:w="2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sz w:val="19"/>
                <w:szCs w:val="19"/>
              </w:rPr>
              <w:t xml:space="preserve">Luxómetro digital</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sz w:val="19"/>
                <w:szCs w:val="19"/>
              </w:rPr>
              <w:t xml:space="preserve">Nivel de ruido ambiental (trabajo)</w:t>
            </w:r>
          </w:p>
        </w:tc>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w:t>
            </w:r>
          </w:p>
        </w:tc>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55 dB promedio</w:t>
            </w:r>
          </w:p>
        </w:tc>
        <w:tc>
          <w:tcPr>
            <w:tcW w:type="dxa" w:w="2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sz w:val="19"/>
                <w:szCs w:val="19"/>
              </w:rPr>
              <w:t xml:space="preserve">Sonómetro / app de medición</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sz w:val="19"/>
                <w:szCs w:val="19"/>
              </w:rPr>
              <w:t xml:space="preserve">Nivel de ruido en espacios de calma</w:t>
            </w:r>
          </w:p>
        </w:tc>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jc w:val="center"/>
            </w:pPr>
            <w:r>
              <w:rPr>
                <w:rFonts w:ascii="Arial" w:cs="Arial" w:eastAsia="Arial" w:hAnsi="Arial"/>
                <w:sz w:val="19"/>
                <w:szCs w:val="19"/>
              </w:rPr>
              <w:t xml:space="preserve">—</w:t>
            </w:r>
          </w:p>
        </w:tc>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jc w:val="center"/>
            </w:pPr>
            <w:r>
              <w:rPr>
                <w:rFonts w:ascii="Arial" w:cs="Arial" w:eastAsia="Arial" w:hAnsi="Arial"/>
                <w:sz w:val="19"/>
                <w:szCs w:val="19"/>
              </w:rPr>
              <w:t xml:space="preserve">35 dB promedio</w:t>
            </w:r>
          </w:p>
        </w:tc>
        <w:tc>
          <w:tcPr>
            <w:tcW w:type="dxa" w:w="2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sz w:val="19"/>
                <w:szCs w:val="19"/>
              </w:rPr>
              <w:t xml:space="preserve">Sonómetro</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sz w:val="19"/>
                <w:szCs w:val="19"/>
              </w:rPr>
              <w:t xml:space="preserve">Temperatura ambiente</w:t>
            </w:r>
          </w:p>
        </w:tc>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18°C</w:t>
            </w:r>
          </w:p>
        </w:tc>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24°C</w:t>
            </w:r>
          </w:p>
        </w:tc>
        <w:tc>
          <w:tcPr>
            <w:tcW w:type="dxa" w:w="2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sz w:val="19"/>
                <w:szCs w:val="19"/>
              </w:rPr>
              <w:t xml:space="preserve">Termómetro ambiental</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sz w:val="19"/>
                <w:szCs w:val="19"/>
              </w:rPr>
              <w:t xml:space="preserve">Frecuencia de parpadeo lumínico</w:t>
            </w:r>
          </w:p>
        </w:tc>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jc w:val="center"/>
            </w:pPr>
            <w:r>
              <w:rPr>
                <w:rFonts w:ascii="Arial" w:cs="Arial" w:eastAsia="Arial" w:hAnsi="Arial"/>
                <w:sz w:val="19"/>
                <w:szCs w:val="19"/>
              </w:rPr>
              <w:t xml:space="preserve">—</w:t>
            </w:r>
          </w:p>
        </w:tc>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jc w:val="center"/>
            </w:pPr>
            <w:r>
              <w:rPr>
                <w:rFonts w:ascii="Arial" w:cs="Arial" w:eastAsia="Arial" w:hAnsi="Arial"/>
                <w:sz w:val="19"/>
                <w:szCs w:val="19"/>
              </w:rPr>
              <w:t xml:space="preserve">Sin parpadeo perceptible (luminarias flicker-free, driver de alta frecuencia)</w:t>
            </w:r>
          </w:p>
        </w:tc>
        <w:tc>
          <w:tcPr>
            <w:tcW w:type="dxa" w:w="2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sz w:val="19"/>
                <w:szCs w:val="19"/>
              </w:rPr>
              <w:t xml:space="preserve">Inspección visual / flicker meter</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sz w:val="19"/>
                <w:szCs w:val="19"/>
              </w:rPr>
              <w:t xml:space="preserve">Densidad de señalización visual</w:t>
            </w:r>
          </w:p>
        </w:tc>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Mínimo: 1 señal por zona</w:t>
            </w:r>
          </w:p>
        </w:tc>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Máx: 4 señales simultáneas por campo visual</w:t>
            </w:r>
          </w:p>
        </w:tc>
        <w:tc>
          <w:tcPr>
            <w:tcW w:type="dxa" w:w="2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sz w:val="19"/>
                <w:szCs w:val="19"/>
              </w:rPr>
              <w:t xml:space="preserve">Observación directa</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sz w:val="19"/>
                <w:szCs w:val="19"/>
              </w:rPr>
              <w:t xml:space="preserve">Perfumes/olores artificiales</w:t>
            </w:r>
          </w:p>
        </w:tc>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jc w:val="center"/>
            </w:pPr>
            <w:r>
              <w:rPr>
                <w:rFonts w:ascii="Arial" w:cs="Arial" w:eastAsia="Arial" w:hAnsi="Arial"/>
                <w:sz w:val="19"/>
                <w:szCs w:val="19"/>
              </w:rPr>
              <w:t xml:space="preserve">—</w:t>
            </w:r>
          </w:p>
        </w:tc>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jc w:val="center"/>
            </w:pPr>
            <w:r>
              <w:rPr>
                <w:rFonts w:ascii="Arial" w:cs="Arial" w:eastAsia="Arial" w:hAnsi="Arial"/>
                <w:sz w:val="19"/>
                <w:szCs w:val="19"/>
              </w:rPr>
              <w:t xml:space="preserve">Ausencia total en zonas de atención</w:t>
            </w:r>
          </w:p>
        </w:tc>
        <w:tc>
          <w:tcPr>
            <w:tcW w:type="dxa" w:w="2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sz w:val="19"/>
                <w:szCs w:val="19"/>
              </w:rPr>
              <w:t xml:space="preserve">Observación + política escrita</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4.2 Accesibilidad cognitiva</w:t>
      </w:r>
    </w:p>
    <w:p>
      <w:pPr>
        <w:spacing w:after="60" w:before="60"/>
        <w:jc w:val="left"/>
      </w:pPr>
      <w:r>
        <w:rPr>
          <w:rFonts w:ascii="Arial" w:cs="Arial" w:eastAsia="Arial" w:hAnsi="Arial"/>
          <w:b w:val="false"/>
          <w:bCs w:val="false"/>
          <w:i w:val="false"/>
          <w:iCs w:val="false"/>
          <w:color w:val="212121"/>
          <w:sz w:val="22"/>
          <w:szCs w:val="22"/>
        </w:rPr>
        <w:t xml:space="preserve">La accesibilidad cognitiva garantiza que la información, las instrucciones y los procesos sean comprensibles para personas con diferencias en el procesamiento de la información. Los principios fundamentales son:</w:t>
      </w:r>
    </w:p>
    <w:p>
      <w:pPr>
        <w:pStyle w:val="ListParagraph"/>
        <w:numPr>
          <w:ilvl w:val="0"/>
          <w:numId w:val="3"/>
        </w:numPr>
        <w:spacing w:after="40" w:before="40"/>
      </w:pPr>
      <w:r>
        <w:rPr>
          <w:rFonts w:ascii="Arial" w:cs="Arial" w:eastAsia="Arial" w:hAnsi="Arial"/>
          <w:color w:val="212121"/>
          <w:sz w:val="22"/>
          <w:szCs w:val="22"/>
        </w:rPr>
        <w:t xml:space="preserve">Simplicidad: una instrucción = una acción. No encadene más de dos pasos en una sola indicación.</w:t>
      </w:r>
    </w:p>
    <w:p>
      <w:pPr>
        <w:pStyle w:val="ListParagraph"/>
        <w:numPr>
          <w:ilvl w:val="0"/>
          <w:numId w:val="3"/>
        </w:numPr>
        <w:spacing w:after="40" w:before="40"/>
      </w:pPr>
      <w:r>
        <w:rPr>
          <w:rFonts w:ascii="Arial" w:cs="Arial" w:eastAsia="Arial" w:hAnsi="Arial"/>
          <w:color w:val="212121"/>
          <w:sz w:val="22"/>
          <w:szCs w:val="22"/>
        </w:rPr>
        <w:t xml:space="preserve">Consistencia: use siempre los mismos términos, colores y ubicaciones para la misma función. La variabilidad innecesaria es una barrera cognitiva.</w:t>
      </w:r>
    </w:p>
    <w:p>
      <w:pPr>
        <w:pStyle w:val="ListParagraph"/>
        <w:numPr>
          <w:ilvl w:val="0"/>
          <w:numId w:val="3"/>
        </w:numPr>
        <w:spacing w:after="40" w:before="40"/>
      </w:pPr>
      <w:r>
        <w:rPr>
          <w:rFonts w:ascii="Arial" w:cs="Arial" w:eastAsia="Arial" w:hAnsi="Arial"/>
          <w:color w:val="212121"/>
          <w:sz w:val="22"/>
          <w:szCs w:val="22"/>
        </w:rPr>
        <w:t xml:space="preserve">Redundancia: presente la información en al menos dos formatos simultáneos (texto + imagen, oral + escrito).</w:t>
      </w:r>
    </w:p>
    <w:p>
      <w:pPr>
        <w:pStyle w:val="ListParagraph"/>
        <w:numPr>
          <w:ilvl w:val="0"/>
          <w:numId w:val="3"/>
        </w:numPr>
        <w:spacing w:after="40" w:before="40"/>
      </w:pPr>
      <w:r>
        <w:rPr>
          <w:rFonts w:ascii="Arial" w:cs="Arial" w:eastAsia="Arial" w:hAnsi="Arial"/>
          <w:color w:val="212121"/>
          <w:sz w:val="22"/>
          <w:szCs w:val="22"/>
        </w:rPr>
        <w:t xml:space="preserve">Jerarquía visual clara: use tamaños, pesos y colores que permitan identificar qué información es más importante sin leer todo el texto.</w:t>
      </w:r>
    </w:p>
    <w:p>
      <w:pPr>
        <w:pStyle w:val="ListParagraph"/>
        <w:numPr>
          <w:ilvl w:val="0"/>
          <w:numId w:val="3"/>
        </w:numPr>
        <w:spacing w:after="40" w:before="40"/>
      </w:pPr>
      <w:r>
        <w:rPr>
          <w:rFonts w:ascii="Arial" w:cs="Arial" w:eastAsia="Arial" w:hAnsi="Arial"/>
          <w:color w:val="212121"/>
          <w:sz w:val="22"/>
          <w:szCs w:val="22"/>
        </w:rPr>
        <w:t xml:space="preserve">Lenguaje sencillo (plain language): frases cortas (máximo 15 palabras), palabras de uso común, voz activa.</w:t>
      </w:r>
    </w:p>
    <w:p>
      <w:pPr>
        <w:spacing w:after="120" w:before="0"/>
      </w:pPr>
      <w:r>
        <w:t xml:space="preserve"/>
      </w:r>
    </w:p>
    <w:p>
      <w:pPr>
        <w:pStyle w:val="Heading3"/>
        <w:spacing w:after="120" w:before="240"/>
      </w:pPr>
      <w:r>
        <w:rPr>
          <w:rFonts w:ascii="Arial" w:cs="Arial" w:eastAsia="Arial" w:hAnsi="Arial"/>
          <w:b/>
          <w:bCs/>
          <w:color w:val="1565C0"/>
          <w:sz w:val="26"/>
          <w:szCs w:val="26"/>
        </w:rPr>
        <w:t xml:space="preserve">Señalización cognitivamente accesible — Requisitos CENI</w:t>
      </w:r>
    </w:p>
    <w:p>
      <w:pPr>
        <w:spacing w:after="60" w:before="60"/>
        <w:jc w:val="left"/>
      </w:pPr>
      <w:r>
        <w:rPr>
          <w:rFonts w:ascii="Arial" w:cs="Arial" w:eastAsia="Arial" w:hAnsi="Arial"/>
          <w:b w:val="false"/>
          <w:bCs w:val="false"/>
          <w:i w:val="false"/>
          <w:iCs w:val="false"/>
          <w:color w:val="212121"/>
          <w:sz w:val="22"/>
          <w:szCs w:val="22"/>
        </w:rPr>
        <w:t xml:space="preserve">La señalización de un espacio certificado CENI debe cumplir:</w:t>
      </w:r>
    </w:p>
    <w:p>
      <w:pPr>
        <w:pStyle w:val="ListParagraph"/>
        <w:numPr>
          <w:ilvl w:val="0"/>
          <w:numId w:val="2"/>
        </w:numPr>
        <w:spacing w:after="40" w:before="40"/>
      </w:pPr>
      <w:r>
        <w:rPr>
          <w:rFonts w:ascii="Arial" w:cs="Arial" w:eastAsia="Arial" w:hAnsi="Arial"/>
          <w:color w:val="212121"/>
          <w:sz w:val="22"/>
          <w:szCs w:val="22"/>
        </w:rPr>
        <w:t xml:space="preserve">Pictogramas normalizados (ARASAAC o similar) junto a todo texto informativo clave</w:t>
      </w:r>
    </w:p>
    <w:p>
      <w:pPr>
        <w:pStyle w:val="ListParagraph"/>
        <w:numPr>
          <w:ilvl w:val="0"/>
          <w:numId w:val="2"/>
        </w:numPr>
        <w:spacing w:after="40" w:before="40"/>
      </w:pPr>
      <w:r>
        <w:rPr>
          <w:rFonts w:ascii="Arial" w:cs="Arial" w:eastAsia="Arial" w:hAnsi="Arial"/>
          <w:color w:val="212121"/>
          <w:sz w:val="22"/>
          <w:szCs w:val="22"/>
        </w:rPr>
        <w:t xml:space="preserve">Contraste mínimo de 4.5:1 entre texto y fondo (WCAG AA)</w:t>
      </w:r>
    </w:p>
    <w:p>
      <w:pPr>
        <w:pStyle w:val="ListParagraph"/>
        <w:numPr>
          <w:ilvl w:val="0"/>
          <w:numId w:val="2"/>
        </w:numPr>
        <w:spacing w:after="40" w:before="40"/>
      </w:pPr>
      <w:r>
        <w:rPr>
          <w:rFonts w:ascii="Arial" w:cs="Arial" w:eastAsia="Arial" w:hAnsi="Arial"/>
          <w:color w:val="212121"/>
          <w:sz w:val="22"/>
          <w:szCs w:val="22"/>
        </w:rPr>
        <w:t xml:space="preserve">Fuente sans-serif de mínimo 16pt para señalización interior</w:t>
      </w:r>
    </w:p>
    <w:p>
      <w:pPr>
        <w:pStyle w:val="ListParagraph"/>
        <w:numPr>
          <w:ilvl w:val="0"/>
          <w:numId w:val="2"/>
        </w:numPr>
        <w:spacing w:after="40" w:before="40"/>
      </w:pPr>
      <w:r>
        <w:rPr>
          <w:rFonts w:ascii="Arial" w:cs="Arial" w:eastAsia="Arial" w:hAnsi="Arial"/>
          <w:color w:val="212121"/>
          <w:sz w:val="22"/>
          <w:szCs w:val="22"/>
        </w:rPr>
        <w:t xml:space="preserve">Mapa visual del espacio disponible en la entrada principal</w:t>
      </w:r>
    </w:p>
    <w:p>
      <w:pPr>
        <w:pStyle w:val="ListParagraph"/>
        <w:numPr>
          <w:ilvl w:val="0"/>
          <w:numId w:val="2"/>
        </w:numPr>
        <w:spacing w:after="40" w:before="40"/>
      </w:pPr>
      <w:r>
        <w:rPr>
          <w:rFonts w:ascii="Arial" w:cs="Arial" w:eastAsia="Arial" w:hAnsi="Arial"/>
          <w:color w:val="212121"/>
          <w:sz w:val="22"/>
          <w:szCs w:val="22"/>
        </w:rPr>
        <w:t xml:space="preserve">Código de colores consistente para diferentes zonas del espacio</w:t>
      </w:r>
    </w:p>
    <w:p>
      <w:pPr>
        <w:pStyle w:val="ListParagraph"/>
        <w:numPr>
          <w:ilvl w:val="0"/>
          <w:numId w:val="2"/>
        </w:numPr>
        <w:spacing w:after="40" w:before="40"/>
      </w:pPr>
      <w:r>
        <w:rPr>
          <w:rFonts w:ascii="Arial" w:cs="Arial" w:eastAsia="Arial" w:hAnsi="Arial"/>
          <w:color w:val="212121"/>
          <w:sz w:val="22"/>
          <w:szCs w:val="22"/>
        </w:rPr>
        <w:t xml:space="preserve">Señalización de "zonas sensibles" (alto volumen, luz intensa) con aviso previo al ingreso</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4.3 Consentimiento informado ambiental</w:t>
      </w:r>
    </w:p>
    <w:p>
      <w:pPr>
        <w:spacing w:after="60" w:before="60"/>
        <w:jc w:val="left"/>
      </w:pPr>
      <w:r>
        <w:rPr>
          <w:rFonts w:ascii="Arial" w:cs="Arial" w:eastAsia="Arial" w:hAnsi="Arial"/>
          <w:b w:val="false"/>
          <w:bCs w:val="false"/>
          <w:i w:val="false"/>
          <w:iCs w:val="false"/>
          <w:color w:val="212121"/>
          <w:sz w:val="22"/>
          <w:szCs w:val="22"/>
        </w:rPr>
        <w:t xml:space="preserve">El consentimiento informado ambiental es el principio según el cual toda persona tiene derecho a saber, antes de entrar a un espacio, cuáles son las características sensoriales de ese espacio, para poder tomar decisiones informadas sobre si accede, con qué apoyos y por cuánto tiempo.</w:t>
      </w:r>
    </w:p>
    <w:p>
      <w:pPr>
        <w:spacing w:after="60" w:before="60"/>
        <w:jc w:val="left"/>
      </w:pPr>
      <w:r>
        <w:rPr>
          <w:rFonts w:ascii="Arial" w:cs="Arial" w:eastAsia="Arial" w:hAnsi="Arial"/>
          <w:b w:val="false"/>
          <w:bCs w:val="false"/>
          <w:i w:val="false"/>
          <w:iCs w:val="false"/>
          <w:color w:val="212121"/>
          <w:sz w:val="22"/>
          <w:szCs w:val="22"/>
        </w:rPr>
        <w:t xml:space="preserve">En la práctica, esto significa que los espacios CENI deben publicar:</w:t>
      </w:r>
    </w:p>
    <w:p>
      <w:pPr>
        <w:pStyle w:val="ListParagraph"/>
        <w:numPr>
          <w:ilvl w:val="0"/>
          <w:numId w:val="2"/>
        </w:numPr>
        <w:spacing w:after="40" w:before="40"/>
      </w:pPr>
      <w:r>
        <w:rPr>
          <w:rFonts w:ascii="Arial" w:cs="Arial" w:eastAsia="Arial" w:hAnsi="Arial"/>
          <w:color w:val="212121"/>
          <w:sz w:val="22"/>
          <w:szCs w:val="22"/>
        </w:rPr>
        <w:t xml:space="preserve">Mapa sensorial del espacio (disponible en formato físico y digital)</w:t>
      </w:r>
    </w:p>
    <w:p>
      <w:pPr>
        <w:pStyle w:val="ListParagraph"/>
        <w:numPr>
          <w:ilvl w:val="0"/>
          <w:numId w:val="2"/>
        </w:numPr>
        <w:spacing w:after="40" w:before="40"/>
      </w:pPr>
      <w:r>
        <w:rPr>
          <w:rFonts w:ascii="Arial" w:cs="Arial" w:eastAsia="Arial" w:hAnsi="Arial"/>
          <w:color w:val="212121"/>
          <w:sz w:val="22"/>
          <w:szCs w:val="22"/>
        </w:rPr>
        <w:t xml:space="preserve">Niveles de ruido habituales por zona y horario</w:t>
      </w:r>
    </w:p>
    <w:p>
      <w:pPr>
        <w:pStyle w:val="ListParagraph"/>
        <w:numPr>
          <w:ilvl w:val="0"/>
          <w:numId w:val="2"/>
        </w:numPr>
        <w:spacing w:after="40" w:before="40"/>
      </w:pPr>
      <w:r>
        <w:rPr>
          <w:rFonts w:ascii="Arial" w:cs="Arial" w:eastAsia="Arial" w:hAnsi="Arial"/>
          <w:color w:val="212121"/>
          <w:sz w:val="22"/>
          <w:szCs w:val="22"/>
        </w:rPr>
        <w:t xml:space="preserve">Advertencias sobre estímulos específicos (música, megáfonos, olores, luz estroboscópica)</w:t>
      </w:r>
    </w:p>
    <w:p>
      <w:pPr>
        <w:pStyle w:val="ListParagraph"/>
        <w:numPr>
          <w:ilvl w:val="0"/>
          <w:numId w:val="2"/>
        </w:numPr>
        <w:spacing w:after="40" w:before="40"/>
      </w:pPr>
      <w:r>
        <w:rPr>
          <w:rFonts w:ascii="Arial" w:cs="Arial" w:eastAsia="Arial" w:hAnsi="Arial"/>
          <w:color w:val="212121"/>
          <w:sz w:val="22"/>
          <w:szCs w:val="22"/>
        </w:rPr>
        <w:t xml:space="preserve">Localización del espacio de calma y protocolo de acceso</w:t>
      </w:r>
    </w:p>
    <w:p>
      <w:pPr>
        <w:pStyle w:val="ListParagraph"/>
        <w:numPr>
          <w:ilvl w:val="0"/>
          <w:numId w:val="2"/>
        </w:numPr>
        <w:spacing w:after="40" w:before="40"/>
      </w:pPr>
      <w:r>
        <w:rPr>
          <w:rFonts w:ascii="Arial" w:cs="Arial" w:eastAsia="Arial" w:hAnsi="Arial"/>
          <w:color w:val="212121"/>
          <w:sz w:val="22"/>
          <w:szCs w:val="22"/>
        </w:rPr>
        <w:t xml:space="preserve">Canales de comunicación alternativa disponibles</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4.4 Elaboración de mapas sensoriales</w:t>
      </w:r>
    </w:p>
    <w:p>
      <w:pPr>
        <w:spacing w:after="60" w:before="60"/>
        <w:jc w:val="left"/>
      </w:pPr>
      <w:r>
        <w:rPr>
          <w:rFonts w:ascii="Arial" w:cs="Arial" w:eastAsia="Arial" w:hAnsi="Arial"/>
          <w:b w:val="false"/>
          <w:bCs w:val="false"/>
          <w:i w:val="false"/>
          <w:iCs w:val="false"/>
          <w:color w:val="212121"/>
          <w:sz w:val="22"/>
          <w:szCs w:val="22"/>
        </w:rPr>
        <w:t xml:space="preserve">Un mapa sensorial es una representación visual del espacio que indica: niveles de ruido por zona, intensidad de iluminación, presencia de olores, temperatura, densidad de personas y ubicación de recursos de accesibilidad. Es una herramienta de autonomía para personas neurodivergentes.</w:t>
      </w:r>
    </w:p>
    <w:p>
      <w:pPr>
        <w:pStyle w:val="Heading3"/>
        <w:spacing w:after="120" w:before="240"/>
      </w:pPr>
      <w:r>
        <w:rPr>
          <w:rFonts w:ascii="Arial" w:cs="Arial" w:eastAsia="Arial" w:hAnsi="Arial"/>
          <w:b/>
          <w:bCs/>
          <w:color w:val="1565C0"/>
          <w:sz w:val="26"/>
          <w:szCs w:val="26"/>
        </w:rPr>
        <w:t xml:space="preserve">Componentes mínimos de un mapa sensorial CENI</w:t>
      </w:r>
    </w:p>
    <w:p>
      <w:pPr>
        <w:pStyle w:val="ListParagraph"/>
        <w:numPr>
          <w:ilvl w:val="0"/>
          <w:numId w:val="2"/>
        </w:numPr>
        <w:spacing w:after="40" w:before="40"/>
      </w:pPr>
      <w:r>
        <w:rPr>
          <w:rFonts w:ascii="Arial" w:cs="Arial" w:eastAsia="Arial" w:hAnsi="Arial"/>
          <w:color w:val="212121"/>
          <w:sz w:val="22"/>
          <w:szCs w:val="22"/>
        </w:rPr>
        <w:t xml:space="preserve">Plano esquemático del espacio (no requiere escala exacta)</w:t>
      </w:r>
    </w:p>
    <w:p>
      <w:pPr>
        <w:pStyle w:val="ListParagraph"/>
        <w:numPr>
          <w:ilvl w:val="0"/>
          <w:numId w:val="2"/>
        </w:numPr>
        <w:spacing w:after="40" w:before="40"/>
      </w:pPr>
      <w:r>
        <w:rPr>
          <w:rFonts w:ascii="Arial" w:cs="Arial" w:eastAsia="Arial" w:hAnsi="Arial"/>
          <w:color w:val="212121"/>
          <w:sz w:val="22"/>
          <w:szCs w:val="22"/>
        </w:rPr>
        <w:t xml:space="preserve">Código de colores: verde = zona tranquila, amarillo = zona moderada, rojo = zona de alta estimulación</w:t>
      </w:r>
    </w:p>
    <w:p>
      <w:pPr>
        <w:pStyle w:val="ListParagraph"/>
        <w:numPr>
          <w:ilvl w:val="0"/>
          <w:numId w:val="2"/>
        </w:numPr>
        <w:spacing w:after="40" w:before="40"/>
      </w:pPr>
      <w:r>
        <w:rPr>
          <w:rFonts w:ascii="Arial" w:cs="Arial" w:eastAsia="Arial" w:hAnsi="Arial"/>
          <w:color w:val="212121"/>
          <w:sz w:val="22"/>
          <w:szCs w:val="22"/>
        </w:rPr>
        <w:t xml:space="preserve">Iconos de: ruido, luz, temperatura, olor, densidad de personas</w:t>
      </w:r>
    </w:p>
    <w:p>
      <w:pPr>
        <w:pStyle w:val="ListParagraph"/>
        <w:numPr>
          <w:ilvl w:val="0"/>
          <w:numId w:val="2"/>
        </w:numPr>
        <w:spacing w:after="40" w:before="40"/>
      </w:pPr>
      <w:r>
        <w:rPr>
          <w:rFonts w:ascii="Arial" w:cs="Arial" w:eastAsia="Arial" w:hAnsi="Arial"/>
          <w:color w:val="212121"/>
          <w:sz w:val="22"/>
          <w:szCs w:val="22"/>
        </w:rPr>
        <w:t xml:space="preserve">Ubicación del espacio de calma (marcado prominentemente)</w:t>
      </w:r>
    </w:p>
    <w:p>
      <w:pPr>
        <w:pStyle w:val="ListParagraph"/>
        <w:numPr>
          <w:ilvl w:val="0"/>
          <w:numId w:val="2"/>
        </w:numPr>
        <w:spacing w:after="40" w:before="40"/>
      </w:pPr>
      <w:r>
        <w:rPr>
          <w:rFonts w:ascii="Arial" w:cs="Arial" w:eastAsia="Arial" w:hAnsi="Arial"/>
          <w:color w:val="212121"/>
          <w:sz w:val="22"/>
          <w:szCs w:val="22"/>
        </w:rPr>
        <w:t xml:space="preserve">Ubicación de baños, salidas y puntos de atención</w:t>
      </w:r>
    </w:p>
    <w:p>
      <w:pPr>
        <w:pStyle w:val="ListParagraph"/>
        <w:numPr>
          <w:ilvl w:val="0"/>
          <w:numId w:val="2"/>
        </w:numPr>
        <w:spacing w:after="40" w:before="40"/>
      </w:pPr>
      <w:r>
        <w:rPr>
          <w:rFonts w:ascii="Arial" w:cs="Arial" w:eastAsia="Arial" w:hAnsi="Arial"/>
          <w:color w:val="212121"/>
          <w:sz w:val="22"/>
          <w:szCs w:val="22"/>
        </w:rPr>
        <w:t xml:space="preserve">Versión en formato impreso (tamaño mínimo A4) y digital (descargable)</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4.5 Actividades del módulo</w:t>
      </w:r>
    </w:p>
    <w:p>
      <w:pPr>
        <w:pStyle w:val="Heading3"/>
        <w:spacing w:after="120" w:before="240"/>
      </w:pPr>
      <w:r>
        <w:rPr>
          <w:rFonts w:ascii="Arial" w:cs="Arial" w:eastAsia="Arial" w:hAnsi="Arial"/>
          <w:b/>
          <w:bCs/>
          <w:color w:val="1565C0"/>
          <w:sz w:val="26"/>
          <w:szCs w:val="26"/>
        </w:rPr>
        <w:t xml:space="preserve">Actividad 4.A — Auditoría sensorial con instrumentos</w:t>
      </w:r>
    </w:p>
    <w:p>
      <w:pPr>
        <w:spacing w:after="60" w:before="60"/>
        <w:jc w:val="left"/>
      </w:pPr>
      <w:r>
        <w:rPr>
          <w:rFonts w:ascii="Arial" w:cs="Arial" w:eastAsia="Arial" w:hAnsi="Arial"/>
          <w:b w:val="false"/>
          <w:bCs w:val="false"/>
          <w:i w:val="false"/>
          <w:iCs w:val="false"/>
          <w:color w:val="212121"/>
          <w:sz w:val="22"/>
          <w:szCs w:val="22"/>
        </w:rPr>
        <w:t xml:space="preserve">Con luxómetro y app de sonómetro (gratuitas en smartphone), el equipo mide los niveles de iluminación y ruido en cinco puntos de su espacio de trabajo. Los resultados se comparan con los umbrales CENI y se documentan en la Ficha de Auditoría Sensorial.</w:t>
      </w:r>
    </w:p>
    <w:p>
      <w:pPr>
        <w:pStyle w:val="Heading3"/>
        <w:spacing w:after="120" w:before="240"/>
      </w:pPr>
      <w:r>
        <w:rPr>
          <w:rFonts w:ascii="Arial" w:cs="Arial" w:eastAsia="Arial" w:hAnsi="Arial"/>
          <w:b/>
          <w:bCs/>
          <w:color w:val="1565C0"/>
          <w:sz w:val="26"/>
          <w:szCs w:val="26"/>
        </w:rPr>
        <w:t xml:space="preserve">Actividad 4.B — Mapa sensorial del espacio</w:t>
      </w:r>
    </w:p>
    <w:p>
      <w:pPr>
        <w:spacing w:after="60" w:before="60"/>
        <w:jc w:val="left"/>
      </w:pPr>
      <w:r>
        <w:rPr>
          <w:rFonts w:ascii="Arial" w:cs="Arial" w:eastAsia="Arial" w:hAnsi="Arial"/>
          <w:b w:val="false"/>
          <w:bCs w:val="false"/>
          <w:i w:val="false"/>
          <w:iCs w:val="false"/>
          <w:color w:val="212121"/>
          <w:sz w:val="22"/>
          <w:szCs w:val="22"/>
        </w:rPr>
        <w:t xml:space="preserve">El equipo elabora el mapa sensorial de su área de trabajo usando la plantilla CENI. Se socializa en plenaria y se proponen ajustes para cumplir los umbrales de certificación.</w:t>
      </w:r>
    </w:p>
    <w:p>
      <w:pPr>
        <w:pStyle w:val="Heading3"/>
        <w:spacing w:after="120" w:before="240"/>
      </w:pPr>
      <w:r>
        <w:rPr>
          <w:rFonts w:ascii="Arial" w:cs="Arial" w:eastAsia="Arial" w:hAnsi="Arial"/>
          <w:b/>
          <w:bCs/>
          <w:color w:val="1565C0"/>
          <w:sz w:val="26"/>
          <w:szCs w:val="26"/>
        </w:rPr>
        <w:t xml:space="preserve">Actividad 4.C — Rediseño de señalización</w:t>
      </w:r>
    </w:p>
    <w:p>
      <w:pPr>
        <w:spacing w:after="60" w:before="60"/>
        <w:jc w:val="left"/>
      </w:pPr>
      <w:r>
        <w:rPr>
          <w:rFonts w:ascii="Arial" w:cs="Arial" w:eastAsia="Arial" w:hAnsi="Arial"/>
          <w:b w:val="false"/>
          <w:bCs w:val="false"/>
          <w:i w:val="false"/>
          <w:iCs w:val="false"/>
          <w:color w:val="212121"/>
          <w:sz w:val="22"/>
          <w:szCs w:val="22"/>
        </w:rPr>
        <w:t xml:space="preserve">Tomando una señal existente en la organización, el participante la rediseña aplicando los principios de accesibilidad cognitiva: lenguaje sencillo, pictograma ARASAAC, contraste adecuado y tamaño de fuente correcto.</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4.6 Evaluación del módulo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r>
              <w:rPr>
                <w:rFonts w:ascii="Arial" w:cs="Arial" w:eastAsia="Arial" w:hAnsi="Arial"/>
                <w:b/>
                <w:bCs/>
                <w:color w:val="FFFFFF"/>
                <w:sz w:val="21"/>
                <w:szCs w:val="21"/>
              </w:rPr>
              <w:t xml:space="preserve">Componente de Evaluación</w:t>
            </w:r>
          </w:p>
        </w:tc>
        <w:tc>
          <w:tcPr>
            <w:tcW w:type="dxa" w:w="180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Tipo</w:t>
            </w:r>
          </w:p>
        </w:tc>
        <w:tc>
          <w:tcPr>
            <w:tcW w:type="dxa" w:w="180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Valor</w:t>
            </w:r>
          </w:p>
        </w:tc>
      </w:tr>
      <w:tr>
        <w:tc>
          <w:tcPr>
            <w:tcW w:type="dxa" w:w="576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r>
              <w:rPr>
                <w:rFonts w:ascii="Arial" w:cs="Arial" w:eastAsia="Arial" w:hAnsi="Arial"/>
                <w:color w:val="212121"/>
                <w:sz w:val="21"/>
                <w:szCs w:val="21"/>
              </w:rPr>
              <w:t xml:space="preserve">Quiz de 10 preguntas sobre umbrales, DUA y accesibilidad cognitiva</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color w:val="616161"/>
                <w:sz w:val="21"/>
                <w:szCs w:val="21"/>
              </w:rPr>
              <w:t xml:space="preserve">Opción múltiple</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25%</w:t>
            </w:r>
          </w:p>
        </w:tc>
      </w:tr>
      <w:tr>
        <w:tc>
          <w:tcPr>
            <w:tcW w:type="dxa" w:w="57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212121"/>
                <w:sz w:val="21"/>
                <w:szCs w:val="21"/>
              </w:rPr>
              <w:t xml:space="preserve">Ficha de Auditoría Sensorial completada (Actividad 4.A)</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Arial" w:cs="Arial" w:eastAsia="Arial" w:hAnsi="Arial"/>
                <w:color w:val="616161"/>
                <w:sz w:val="21"/>
                <w:szCs w:val="21"/>
              </w:rPr>
              <w:t xml:space="preserve">Práctica con instrumentos</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35%</w:t>
            </w:r>
          </w:p>
        </w:tc>
      </w:tr>
      <w:tr>
        <w:tc>
          <w:tcPr>
            <w:tcW w:type="dxa" w:w="576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r>
              <w:rPr>
                <w:rFonts w:ascii="Arial" w:cs="Arial" w:eastAsia="Arial" w:hAnsi="Arial"/>
                <w:color w:val="212121"/>
                <w:sz w:val="21"/>
                <w:szCs w:val="21"/>
              </w:rPr>
              <w:t xml:space="preserve">Mapa sensorial del espacio (Actividad 4.B)</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color w:val="616161"/>
                <w:sz w:val="21"/>
                <w:szCs w:val="21"/>
              </w:rPr>
              <w:t xml:space="preserve">Práctica aplicada</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25%</w:t>
            </w:r>
          </w:p>
        </w:tc>
      </w:tr>
      <w:tr>
        <w:tc>
          <w:tcPr>
            <w:tcW w:type="dxa" w:w="57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212121"/>
                <w:sz w:val="21"/>
                <w:szCs w:val="21"/>
              </w:rPr>
              <w:t xml:space="preserve">Rediseño de señalización (Actividad 4.C)</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Arial" w:cs="Arial" w:eastAsia="Arial" w:hAnsi="Arial"/>
                <w:color w:val="616161"/>
                <w:sz w:val="21"/>
                <w:szCs w:val="21"/>
              </w:rPr>
              <w:t xml:space="preserve">Creativo-técnico</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15%</w:t>
            </w:r>
          </w:p>
        </w:tc>
      </w:tr>
    </w:tbl>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B0082" w:val="clear"/>
            <w:tcMar>
              <w:top w:type="dxa" w:w="160"/>
              <w:left w:type="dxa" w:w="240"/>
              <w:bottom w:type="dxa" w:w="60"/>
              <w:right w:type="dxa" w:w="240"/>
            </w:tcMar>
          </w:tcPr>
          <w:p>
            <w:pPr>
              <w:jc w:val="left"/>
            </w:pPr>
            <w:r>
              <w:rPr>
                <w:rFonts w:ascii="Arial" w:cs="Arial" w:eastAsia="Arial" w:hAnsi="Arial"/>
                <w:b/>
                <w:bCs/>
                <w:color w:val="B39DDB"/>
                <w:sz w:val="22"/>
                <w:szCs w:val="22"/>
              </w:rPr>
              <w:t xml:space="preserve">MÓDULO 5</w:t>
            </w:r>
          </w:p>
          <w:p>
            <w:pPr>
              <w:jc w:val="left"/>
            </w:pPr>
            <w:r>
              <w:rPr>
                <w:rFonts w:ascii="Arial" w:cs="Arial" w:eastAsia="Arial" w:hAnsi="Arial"/>
                <w:b/>
                <w:bCs/>
                <w:color w:val="FFFFFF"/>
                <w:sz w:val="36"/>
                <w:szCs w:val="36"/>
              </w:rPr>
              <w:t xml:space="preserve">ÉTICA, DERECHOS HUMANOS Y LEY ÍNDIGO</w:t>
            </w:r>
          </w:p>
        </w:tc>
      </w:tr>
      <w:tr>
        <w:tc>
          <w:tcPr>
            <w:tcBorders>
              <w:top w:val="none" w:color="FFFFFF" w:sz="0"/>
              <w:left w:val="none" w:color="FFFFFF" w:sz="0"/>
              <w:bottom w:val="none" w:color="FFFFFF" w:sz="0"/>
              <w:right w:val="none" w:color="FFFFFF" w:sz="0"/>
            </w:tcBorders>
            <w:shd w:fill="6A0DAD" w:val="clear"/>
            <w:tcMar>
              <w:top w:type="dxa" w:w="80"/>
              <w:left w:type="dxa" w:w="240"/>
              <w:bottom w:type="dxa" w:w="80"/>
              <w:right w:type="dxa" w:w="240"/>
            </w:tcMar>
          </w:tcPr>
          <w:p>
            <w:r>
              <w:rPr>
                <w:rFonts w:ascii="Arial" w:cs="Arial" w:eastAsia="Arial" w:hAnsi="Arial"/>
                <w:color w:val="FFFFFF"/>
                <w:sz w:val="20"/>
                <w:szCs w:val="20"/>
              </w:rPr>
              <w:t xml:space="preserve">Duración: 3 horas   Dirigido a: Propietarios, directivos, RRHH, prestadores de servicios públicos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95C" w:sz="1"/>
              <w:left w:val="single" w:color="00695C" w:sz="1"/>
              <w:bottom w:val="single" w:color="00695C" w:sz="1"/>
              <w:right w:val="single" w:color="00695C" w:sz="1"/>
            </w:tcBorders>
            <w:shd w:fill="00695C" w:val="clear"/>
            <w:tcMar>
              <w:top w:type="dxa" w:w="80"/>
              <w:left w:type="dxa" w:w="160"/>
              <w:bottom w:type="dxa" w:w="80"/>
              <w:right w:type="dxa" w:w="160"/>
            </w:tcMar>
          </w:tcPr>
          <w:p>
            <w:r>
              <w:rPr>
                <w:rFonts w:ascii="Arial" w:cs="Arial" w:eastAsia="Arial" w:hAnsi="Arial"/>
                <w:b/>
                <w:bCs/>
                <w:color w:val="FFFFFF"/>
                <w:sz w:val="22"/>
                <w:szCs w:val="22"/>
              </w:rPr>
              <w:t xml:space="preserve">OBJETIVOS DEL MÓDULO</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Ubicar los Derechos Índigo en el marco internacional de los derechos humanos de cuarta generación.</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Identificar las obligaciones legales aplicables a empresas, instituciones educativas y prestadores de servicios en materia de neuroinclusión.</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Analizar casos prácticos de vulneración de derechos neurodivergentes y su tratamiento jurídico.</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Aplicar el control de convencionalidad como herramienta de autoevaluación institucional.</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5.1 Derechos de cuarta generación y neurodivergencia</w:t>
      </w:r>
    </w:p>
    <w:p>
      <w:pPr>
        <w:spacing w:after="60" w:before="60"/>
        <w:jc w:val="left"/>
      </w:pPr>
      <w:r>
        <w:rPr>
          <w:rFonts w:ascii="Arial" w:cs="Arial" w:eastAsia="Arial" w:hAnsi="Arial"/>
          <w:b w:val="false"/>
          <w:bCs w:val="false"/>
          <w:i w:val="false"/>
          <w:iCs w:val="false"/>
          <w:color w:val="212121"/>
          <w:sz w:val="22"/>
          <w:szCs w:val="22"/>
        </w:rPr>
        <w:t xml:space="preserve">Los derechos humanos han evolucionado en generaciones históricas: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Primera generación</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Derechos civiles y políticos: libertad de expresión, derecho al voto, garantías procesales.</w:t>
            </w:r>
          </w:p>
        </w:tc>
      </w:tr>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Segunda generación</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Derechos económicos, sociales y culturales: trabajo, salud, educación, vivienda.</w:t>
            </w:r>
          </w:p>
        </w:tc>
      </w:tr>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Tercera generación</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Derechos de solidaridad: paz, medio ambiente, desarrollo, patrimonio común de la humanidad.</w:t>
            </w:r>
          </w:p>
        </w:tc>
      </w:tr>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Cuarta generación</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Derechos de la diversidad humana: identidad digital, privacidad algorítmica, existencia neurodivergente plena, autodeterminación identitaria, protección frente a discriminación por IA.</w:t>
            </w:r>
          </w:p>
        </w:tc>
      </w:tr>
    </w:tbl>
    <w:p>
      <w:pPr>
        <w:spacing w:after="120" w:before="0"/>
      </w:pPr>
      <w:r>
        <w:t xml:space="preserve"/>
      </w:r>
    </w:p>
    <w:p>
      <w:pPr>
        <w:spacing w:after="60" w:before="60"/>
        <w:jc w:val="left"/>
      </w:pPr>
      <w:r>
        <w:rPr>
          <w:rFonts w:ascii="Arial" w:cs="Arial" w:eastAsia="Arial" w:hAnsi="Arial"/>
          <w:b w:val="false"/>
          <w:bCs w:val="false"/>
          <w:i w:val="false"/>
          <w:iCs w:val="false"/>
          <w:color w:val="212121"/>
          <w:sz w:val="22"/>
          <w:szCs w:val="22"/>
        </w:rPr>
        <w:t xml:space="preserve">Los Derechos Índigo son derechos de cuarta generación porque responden a formas de discriminación que no existían o no eran visibles en los marcos normativos anteriores: la discriminación algorítmica, la exigencia de masking como condición de participación social, la patologización forzada como requisito de acceso a servicios, la prohibición de terapias normalizadoras.</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5.2 Marco de obligaciones para organizaciones</w:t>
      </w:r>
    </w:p>
    <w:p>
      <w:pPr>
        <w:spacing w:after="60" w:before="60"/>
        <w:jc w:val="left"/>
      </w:pPr>
      <w:r>
        <w:rPr>
          <w:rFonts w:ascii="Arial" w:cs="Arial" w:eastAsia="Arial" w:hAnsi="Arial"/>
          <w:b w:val="false"/>
          <w:bCs w:val="false"/>
          <w:i w:val="false"/>
          <w:iCs w:val="false"/>
          <w:color w:val="212121"/>
          <w:sz w:val="22"/>
          <w:szCs w:val="22"/>
        </w:rPr>
        <w:t xml:space="preserve">Las organizaciones en México tienen obligaciones en materia de neuroinclusión derivadas de los siguientes instrumentos:</w:t>
      </w:r>
    </w:p>
    <w:p>
      <w:pPr>
        <w:pStyle w:val="ListParagraph"/>
        <w:numPr>
          <w:ilvl w:val="0"/>
          <w:numId w:val="2"/>
        </w:numPr>
        <w:spacing w:after="40" w:before="40"/>
      </w:pPr>
      <w:r>
        <w:rPr>
          <w:rFonts w:ascii="Arial" w:cs="Arial" w:eastAsia="Arial" w:hAnsi="Arial"/>
          <w:color w:val="212121"/>
          <w:sz w:val="22"/>
          <w:szCs w:val="22"/>
        </w:rPr>
        <w:t xml:space="preserve">Artículo 1° constitucional: obligación de no discriminar por cualquier condición. La neurodivergencia queda comprendida bajo "cualquier otra condición" conforme al principio pro persona.</w:t>
      </w:r>
    </w:p>
    <w:p>
      <w:pPr>
        <w:pStyle w:val="ListParagraph"/>
        <w:numPr>
          <w:ilvl w:val="0"/>
          <w:numId w:val="2"/>
        </w:numPr>
        <w:spacing w:after="40" w:before="40"/>
      </w:pPr>
      <w:r>
        <w:rPr>
          <w:rFonts w:ascii="Arial" w:cs="Arial" w:eastAsia="Arial" w:hAnsi="Arial"/>
          <w:color w:val="212121"/>
          <w:sz w:val="22"/>
          <w:szCs w:val="22"/>
        </w:rPr>
        <w:t xml:space="preserve">CDPD – Convención sobre los Derechos de las Personas con Discapacidad (ONU): los Estados Parte —y por extensión sus empresas e instituciones— deben garantizar ajustes razonables y accesibilidad universal.</w:t>
      </w:r>
    </w:p>
    <w:p>
      <w:pPr>
        <w:pStyle w:val="ListParagraph"/>
        <w:numPr>
          <w:ilvl w:val="0"/>
          <w:numId w:val="2"/>
        </w:numPr>
        <w:spacing w:after="40" w:before="40"/>
      </w:pPr>
      <w:r>
        <w:rPr>
          <w:rFonts w:ascii="Arial" w:cs="Arial" w:eastAsia="Arial" w:hAnsi="Arial"/>
          <w:color w:val="212121"/>
          <w:sz w:val="22"/>
          <w:szCs w:val="22"/>
        </w:rPr>
        <w:t xml:space="preserve">Ley Federal para Prevenir y Eliminar la Discriminación: establece responsabilidad legal para quien discrimine por condición neurológica en el ámbito laboral, educativo o de servicios.</w:t>
      </w:r>
    </w:p>
    <w:p>
      <w:pPr>
        <w:pStyle w:val="ListParagraph"/>
        <w:numPr>
          <w:ilvl w:val="0"/>
          <w:numId w:val="2"/>
        </w:numPr>
        <w:spacing w:after="40" w:before="40"/>
      </w:pPr>
      <w:r>
        <w:rPr>
          <w:rFonts w:ascii="Arial" w:cs="Arial" w:eastAsia="Arial" w:hAnsi="Arial"/>
          <w:color w:val="212121"/>
          <w:sz w:val="22"/>
          <w:szCs w:val="22"/>
        </w:rPr>
        <w:t xml:space="preserve">Ley General para la Inclusión de las Personas con Discapacidad: obliga a empleadores a garantizar la no discriminación y a implementar ajustes razonables.</w:t>
      </w:r>
    </w:p>
    <w:p>
      <w:pPr>
        <w:pStyle w:val="ListParagraph"/>
        <w:numPr>
          <w:ilvl w:val="0"/>
          <w:numId w:val="2"/>
        </w:numPr>
        <w:spacing w:after="40" w:before="40"/>
      </w:pPr>
      <w:r>
        <w:rPr>
          <w:rFonts w:ascii="Arial" w:cs="Arial" w:eastAsia="Arial" w:hAnsi="Arial"/>
          <w:color w:val="212121"/>
          <w:sz w:val="22"/>
          <w:szCs w:val="22"/>
        </w:rPr>
        <w:t xml:space="preserve">Ley Índigo (en proceso de aprobación legislativa): establece obligaciones específicas para certificación, capacitación y gobernanza en materia de neuroinclusión.</w:t>
      </w:r>
    </w:p>
    <w:p>
      <w:pPr>
        <w:spacing w:after="120" w:before="0"/>
      </w:pPr>
      <w:r>
        <w:t xml:space="preserve"/>
      </w:r>
    </w:p>
    <w:p>
      <w:pPr>
        <w:pStyle w:val="Heading3"/>
        <w:spacing w:after="120" w:before="240"/>
      </w:pPr>
      <w:r>
        <w:rPr>
          <w:rFonts w:ascii="Arial" w:cs="Arial" w:eastAsia="Arial" w:hAnsi="Arial"/>
          <w:b/>
          <w:bCs/>
          <w:color w:val="1565C0"/>
          <w:sz w:val="26"/>
          <w:szCs w:val="26"/>
        </w:rPr>
        <w:t xml:space="preserve">Ajuste razonable: definición y alcance</w:t>
      </w:r>
    </w:p>
    <w:p>
      <w:pPr>
        <w:spacing w:after="60" w:before="60"/>
        <w:jc w:val="left"/>
      </w:pPr>
      <w:r>
        <w:rPr>
          <w:rFonts w:ascii="Arial" w:cs="Arial" w:eastAsia="Arial" w:hAnsi="Arial"/>
          <w:b w:val="false"/>
          <w:bCs w:val="false"/>
          <w:i w:val="false"/>
          <w:iCs w:val="false"/>
          <w:color w:val="212121"/>
          <w:sz w:val="22"/>
          <w:szCs w:val="22"/>
        </w:rPr>
        <w:t xml:space="preserve">El "ajuste razonable" —consagrado en el Artículo 2 de la CDPD— es cualquier modificación o adaptación necesaria y adecuada que no imponga una carga desproporcionada o indebida, y que garantice a la persona neurodivergente el disfrute de sus derechos en igualdad de condiciones.</w:t>
      </w:r>
    </w:p>
    <w:p>
      <w:pPr>
        <w:spacing w:after="60" w:before="60"/>
        <w:jc w:val="left"/>
      </w:pPr>
      <w:r>
        <w:rPr>
          <w:rFonts w:ascii="Arial" w:cs="Arial" w:eastAsia="Arial" w:hAnsi="Arial"/>
          <w:b w:val="false"/>
          <w:bCs w:val="false"/>
          <w:i w:val="false"/>
          <w:iCs w:val="false"/>
          <w:color w:val="212121"/>
          <w:sz w:val="22"/>
          <w:szCs w:val="22"/>
        </w:rPr>
        <w:t xml:space="preserve">La negativa a realizar ajustes razonables constituye discriminación en términos del Artículo 5 de la CDPD. Esto implica que una organización que no adapta su proceso de selección, su espacio de trabajo o su protocolo de comunicación puede estar incurriendo en discriminación legal, aunque no lo haga de manera intencional.</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5.3 Casos prácticos</w:t>
      </w:r>
    </w:p>
    <w:p>
      <w:pPr>
        <w:pStyle w:val="Heading3"/>
        <w:spacing w:after="120" w:before="240"/>
      </w:pPr>
      <w:r>
        <w:rPr>
          <w:rFonts w:ascii="Arial" w:cs="Arial" w:eastAsia="Arial" w:hAnsi="Arial"/>
          <w:b/>
          <w:bCs/>
          <w:color w:val="1565C0"/>
          <w:sz w:val="26"/>
          <w:szCs w:val="26"/>
        </w:rPr>
        <w:t xml:space="preserve">Caso 1 — Despido por "bajo desempeño" encubierto</w:t>
      </w:r>
    </w:p>
    <w:p>
      <w:pPr>
        <w:spacing w:after="60" w:before="60"/>
        <w:jc w:val="left"/>
      </w:pPr>
      <w:r>
        <w:rPr>
          <w:rFonts w:ascii="Arial" w:cs="Arial" w:eastAsia="Arial" w:hAnsi="Arial"/>
          <w:b w:val="false"/>
          <w:bCs w:val="false"/>
          <w:i w:val="false"/>
          <w:iCs w:val="false"/>
          <w:color w:val="212121"/>
          <w:sz w:val="22"/>
          <w:szCs w:val="22"/>
        </w:rPr>
        <w:t xml:space="preserve">Situación: Una empresa despide a un colaborador autista argumentando "falta de trabajo en equipo y comunicación deficiente". El colaborador cumplía todos sus objetivos cuantitativos de productividad.</w:t>
      </w:r>
    </w:p>
    <w:p>
      <w:pPr>
        <w:spacing w:after="60" w:before="60"/>
        <w:jc w:val="left"/>
      </w:pPr>
      <w:r>
        <w:rPr>
          <w:rFonts w:ascii="Arial" w:cs="Arial" w:eastAsia="Arial" w:hAnsi="Arial"/>
          <w:b w:val="false"/>
          <w:bCs w:val="false"/>
          <w:i w:val="false"/>
          <w:iCs w:val="false"/>
          <w:color w:val="212121"/>
          <w:sz w:val="22"/>
          <w:szCs w:val="22"/>
        </w:rPr>
        <w:t xml:space="preserve">Análisis jurídico: El despido configura discriminación por condición neurológica bajo el Artículo 1° constitucional y la Ley Federal para Prevenir y Eliminar la Discriminación. La "falta de comunicación" como causal es discriminatoria cuando el trabajo puede realizarse sin comunicación verbal en los términos exigidos. La empresa no ofreció ajustes razonables. Posible nulidad del despido con reinstalación o indemnización agravada.</w:t>
      </w:r>
    </w:p>
    <w:p>
      <w:pPr>
        <w:spacing w:after="60" w:before="60"/>
        <w:jc w:val="left"/>
      </w:pPr>
      <w:r>
        <w:rPr>
          <w:rFonts w:ascii="Arial" w:cs="Arial" w:eastAsia="Arial" w:hAnsi="Arial"/>
          <w:b w:val="false"/>
          <w:bCs w:val="false"/>
          <w:i w:val="false"/>
          <w:iCs w:val="false"/>
          <w:color w:val="212121"/>
          <w:sz w:val="22"/>
          <w:szCs w:val="22"/>
        </w:rPr>
        <w:t xml:space="preserve">Respuesta CENI: Un entorno certificado CENI Laboral tendría protocolos escritos de evaluación de desempeño basados en objetivos medibles, no en criterios de "trabajo en equipo" subjetivos. El caso no habría llegado a despido.</w:t>
      </w:r>
    </w:p>
    <w:p>
      <w:pPr>
        <w:pStyle w:val="Heading3"/>
        <w:spacing w:after="120" w:before="240"/>
      </w:pPr>
      <w:r>
        <w:rPr>
          <w:rFonts w:ascii="Arial" w:cs="Arial" w:eastAsia="Arial" w:hAnsi="Arial"/>
          <w:b/>
          <w:bCs/>
          <w:color w:val="1565C0"/>
          <w:sz w:val="26"/>
          <w:szCs w:val="26"/>
        </w:rPr>
        <w:t xml:space="preserve">Caso 2 — Escuela que exige diagnóstico para apoyos</w:t>
      </w:r>
    </w:p>
    <w:p>
      <w:pPr>
        <w:spacing w:after="60" w:before="60"/>
        <w:jc w:val="left"/>
      </w:pPr>
      <w:r>
        <w:rPr>
          <w:rFonts w:ascii="Arial" w:cs="Arial" w:eastAsia="Arial" w:hAnsi="Arial"/>
          <w:b w:val="false"/>
          <w:bCs w:val="false"/>
          <w:i w:val="false"/>
          <w:iCs w:val="false"/>
          <w:color w:val="212121"/>
          <w:sz w:val="22"/>
          <w:szCs w:val="22"/>
        </w:rPr>
        <w:t xml:space="preserve">Situación: Una escuela primaria condiciona los apoyos pedagógicos (tiempo adicional en exámenes, asientos preferenciales, reducción de estímulos) a la presentación de un dictamen psicopedagógico formal.</w:t>
      </w:r>
    </w:p>
    <w:p>
      <w:pPr>
        <w:spacing w:after="60" w:before="60"/>
        <w:jc w:val="left"/>
      </w:pPr>
      <w:r>
        <w:rPr>
          <w:rFonts w:ascii="Arial" w:cs="Arial" w:eastAsia="Arial" w:hAnsi="Arial"/>
          <w:b w:val="false"/>
          <w:bCs w:val="false"/>
          <w:i w:val="false"/>
          <w:iCs w:val="false"/>
          <w:color w:val="212121"/>
          <w:sz w:val="22"/>
          <w:szCs w:val="22"/>
        </w:rPr>
        <w:t xml:space="preserve">Análisis jurídico: La exigencia de diagnóstico viola el Derecho 2 de los Derechos Índigo (autoidentificación sin diagnóstico) y el principio de ajuste razonable de la CDPD. La escuela está imponiendo una carga administrativa como condición de acceso a un derecho.</w:t>
      </w:r>
    </w:p>
    <w:p>
      <w:pPr>
        <w:spacing w:after="60" w:before="60"/>
        <w:jc w:val="left"/>
      </w:pPr>
      <w:r>
        <w:rPr>
          <w:rFonts w:ascii="Arial" w:cs="Arial" w:eastAsia="Arial" w:hAnsi="Arial"/>
          <w:b w:val="false"/>
          <w:bCs w:val="false"/>
          <w:i w:val="false"/>
          <w:iCs w:val="false"/>
          <w:color w:val="212121"/>
          <w:sz w:val="22"/>
          <w:szCs w:val="22"/>
        </w:rPr>
        <w:t xml:space="preserve">Respuesta CENI: Un espacio certificado CENI Espacios (línea educativa) tendría un protocolo de apoyos universales disponibles para cualquier estudiante que los solicite, sin requerir diagnóstico.</w:t>
      </w:r>
    </w:p>
    <w:p>
      <w:pPr>
        <w:pStyle w:val="Heading3"/>
        <w:spacing w:after="120" w:before="240"/>
      </w:pPr>
      <w:r>
        <w:rPr>
          <w:rFonts w:ascii="Arial" w:cs="Arial" w:eastAsia="Arial" w:hAnsi="Arial"/>
          <w:b/>
          <w:bCs/>
          <w:color w:val="1565C0"/>
          <w:sz w:val="26"/>
          <w:szCs w:val="26"/>
        </w:rPr>
        <w:t xml:space="preserve">Caso 3 — Comercio con política de "no niños con meltdowns"</w:t>
      </w:r>
    </w:p>
    <w:p>
      <w:pPr>
        <w:spacing w:after="60" w:before="60"/>
        <w:jc w:val="left"/>
      </w:pPr>
      <w:r>
        <w:rPr>
          <w:rFonts w:ascii="Arial" w:cs="Arial" w:eastAsia="Arial" w:hAnsi="Arial"/>
          <w:b w:val="false"/>
          <w:bCs w:val="false"/>
          <w:i w:val="false"/>
          <w:iCs w:val="false"/>
          <w:color w:val="212121"/>
          <w:sz w:val="22"/>
          <w:szCs w:val="22"/>
        </w:rPr>
        <w:t xml:space="preserve">Situación: Un restaurante publicó en redes sociales una política de "no admisión de menores con crisis de conducta" después de que un niño autista tuvo un meltdown en las instalaciones.</w:t>
      </w:r>
    </w:p>
    <w:p>
      <w:pPr>
        <w:spacing w:after="60" w:before="60"/>
        <w:jc w:val="left"/>
      </w:pPr>
      <w:r>
        <w:rPr>
          <w:rFonts w:ascii="Arial" w:cs="Arial" w:eastAsia="Arial" w:hAnsi="Arial"/>
          <w:b w:val="false"/>
          <w:bCs w:val="false"/>
          <w:i w:val="false"/>
          <w:iCs w:val="false"/>
          <w:color w:val="212121"/>
          <w:sz w:val="22"/>
          <w:szCs w:val="22"/>
        </w:rPr>
        <w:t xml:space="preserve">Análisis jurídico: La política constituye discriminación directa por condición neurológica y viola el derecho a la igualdad de acceso a servicios públicos. En términos del control de convencionalidad, viola el Artículo 5 de la CDPD y el Artículo 24 de la Convención sobre los Derechos del Niño.</w:t>
      </w:r>
    </w:p>
    <w:p>
      <w:pPr>
        <w:spacing w:after="60" w:before="60"/>
        <w:jc w:val="left"/>
      </w:pPr>
      <w:r>
        <w:rPr>
          <w:rFonts w:ascii="Arial" w:cs="Arial" w:eastAsia="Arial" w:hAnsi="Arial"/>
          <w:b w:val="false"/>
          <w:bCs w:val="false"/>
          <w:i w:val="false"/>
          <w:iCs w:val="false"/>
          <w:color w:val="212121"/>
          <w:sz w:val="22"/>
          <w:szCs w:val="22"/>
        </w:rPr>
        <w:t xml:space="preserve">Respuesta CENI: Un espacio certificado CENI Espacios tendría protocolo de manejo de crisis y personal capacitado para acompañar la situación sin excluir a la familia.</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5.4 Control de convencionalidad como herramienta institucional</w:t>
      </w:r>
    </w:p>
    <w:p>
      <w:pPr>
        <w:spacing w:after="60" w:before="60"/>
        <w:jc w:val="left"/>
      </w:pPr>
      <w:r>
        <w:rPr>
          <w:rFonts w:ascii="Arial" w:cs="Arial" w:eastAsia="Arial" w:hAnsi="Arial"/>
          <w:b w:val="false"/>
          <w:bCs w:val="false"/>
          <w:i w:val="false"/>
          <w:iCs w:val="false"/>
          <w:color w:val="212121"/>
          <w:sz w:val="22"/>
          <w:szCs w:val="22"/>
        </w:rPr>
        <w:t xml:space="preserve">El control de convencionalidad es la obligación de todas las autoridades —y, por extensión razonable, de todas las organizaciones que reciben o afectan derechos— de verificar que sus actos, normas y políticas internas sean compatibles con los tratados internacionales de derechos humanos ratificados por México.</w:t>
      </w:r>
    </w:p>
    <w:p>
      <w:pPr>
        <w:spacing w:after="60" w:before="60"/>
        <w:jc w:val="left"/>
      </w:pPr>
      <w:r>
        <w:rPr>
          <w:rFonts w:ascii="Arial" w:cs="Arial" w:eastAsia="Arial" w:hAnsi="Arial"/>
          <w:b w:val="false"/>
          <w:bCs w:val="false"/>
          <w:i w:val="false"/>
          <w:iCs w:val="false"/>
          <w:color w:val="212121"/>
          <w:sz w:val="22"/>
          <w:szCs w:val="22"/>
        </w:rPr>
        <w:t xml:space="preserve">En términos prácticos para una organización, el control de convencionalidad implica revisar periódicamente:</w:t>
      </w:r>
    </w:p>
    <w:p>
      <w:pPr>
        <w:pStyle w:val="ListParagraph"/>
        <w:numPr>
          <w:ilvl w:val="0"/>
          <w:numId w:val="3"/>
        </w:numPr>
        <w:spacing w:after="40" w:before="40"/>
      </w:pPr>
      <w:r>
        <w:rPr>
          <w:rFonts w:ascii="Arial" w:cs="Arial" w:eastAsia="Arial" w:hAnsi="Arial"/>
          <w:color w:val="212121"/>
          <w:sz w:val="22"/>
          <w:szCs w:val="22"/>
        </w:rPr>
        <w:t xml:space="preserve">¿Nuestro reglamento interno contiene criterios que discriminan por condición neurológica, explícita o implícitamente?</w:t>
      </w:r>
    </w:p>
    <w:p>
      <w:pPr>
        <w:pStyle w:val="ListParagraph"/>
        <w:numPr>
          <w:ilvl w:val="0"/>
          <w:numId w:val="3"/>
        </w:numPr>
        <w:spacing w:after="40" w:before="40"/>
      </w:pPr>
      <w:r>
        <w:rPr>
          <w:rFonts w:ascii="Arial" w:cs="Arial" w:eastAsia="Arial" w:hAnsi="Arial"/>
          <w:color w:val="212121"/>
          <w:sz w:val="22"/>
          <w:szCs w:val="22"/>
        </w:rPr>
        <w:t xml:space="preserve">¿Nuestros procesos de selección, evaluación y ascenso favorecen perfiles neurotípicos de manera sistemática?</w:t>
      </w:r>
    </w:p>
    <w:p>
      <w:pPr>
        <w:pStyle w:val="ListParagraph"/>
        <w:numPr>
          <w:ilvl w:val="0"/>
          <w:numId w:val="3"/>
        </w:numPr>
        <w:spacing w:after="40" w:before="40"/>
      </w:pPr>
      <w:r>
        <w:rPr>
          <w:rFonts w:ascii="Arial" w:cs="Arial" w:eastAsia="Arial" w:hAnsi="Arial"/>
          <w:color w:val="212121"/>
          <w:sz w:val="22"/>
          <w:szCs w:val="22"/>
        </w:rPr>
        <w:t xml:space="preserve">¿Nuestros protocolos de atención a usuarios garantizan ajustes razonables sin carga administrativa sobre el usuario?</w:t>
      </w:r>
    </w:p>
    <w:p>
      <w:pPr>
        <w:pStyle w:val="ListParagraph"/>
        <w:numPr>
          <w:ilvl w:val="0"/>
          <w:numId w:val="3"/>
        </w:numPr>
        <w:spacing w:after="40" w:before="40"/>
      </w:pPr>
      <w:r>
        <w:rPr>
          <w:rFonts w:ascii="Arial" w:cs="Arial" w:eastAsia="Arial" w:hAnsi="Arial"/>
          <w:color w:val="212121"/>
          <w:sz w:val="22"/>
          <w:szCs w:val="22"/>
        </w:rPr>
        <w:t xml:space="preserve">¿Nuestras políticas de comunicación eliminan la coerción social comunicativa?</w:t>
      </w:r>
    </w:p>
    <w:p>
      <w:pPr>
        <w:pStyle w:val="ListParagraph"/>
        <w:numPr>
          <w:ilvl w:val="0"/>
          <w:numId w:val="3"/>
        </w:numPr>
        <w:spacing w:after="40" w:before="40"/>
      </w:pPr>
      <w:r>
        <w:rPr>
          <w:rFonts w:ascii="Arial" w:cs="Arial" w:eastAsia="Arial" w:hAnsi="Arial"/>
          <w:color w:val="212121"/>
          <w:sz w:val="22"/>
          <w:szCs w:val="22"/>
        </w:rPr>
        <w:t xml:space="preserve">¿Disponemos de mecanismos efectivos de queja y corrección cuando se vulneran derechos neurodivergentes?</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5.5 NOM-035-STPS-2018: qué obliga y a quién</w:t>
      </w:r>
    </w:p>
    <w:p>
      <w:pPr>
        <w:spacing w:after="60" w:before="60"/>
        <w:jc w:val="left"/>
      </w:pPr>
      <w:r>
        <w:rPr>
          <w:rFonts w:ascii="Arial" w:cs="Arial" w:eastAsia="Arial" w:hAnsi="Arial"/>
          <w:b w:val="false"/>
          <w:bCs w:val="false"/>
          <w:i w:val="false"/>
          <w:iCs w:val="false"/>
          <w:color w:val="212121"/>
          <w:sz w:val="22"/>
          <w:szCs w:val="22"/>
        </w:rPr>
        <w:t xml:space="preserve">La NOM-035-STPS-2018 ("Factores de riesgo psicosocial en el trabajo — Identificación, análisis y prevención") es una Norma Oficial Mexicana de cumplimiento obligatorio en todo el territorio nacional. Obliga a todo centro de trabajo a identificar, analizar y prevenir los factores de riesgo psicosocial y a promover un entorno organizacional favorable. Las obligaciones se escalonan según el número de trabajadores, y se instrumentan con cinco guías de referencia oficiales (I a V).</w:t>
      </w:r>
    </w:p>
    <w:p>
      <w:pPr>
        <w:spacing w:after="60" w:before="60"/>
        <w:jc w:val="left"/>
      </w:pPr>
      <w:r>
        <w:rPr>
          <w:rFonts w:ascii="Arial" w:cs="Arial" w:eastAsia="Arial" w:hAnsi="Arial"/>
          <w:b w:val="false"/>
          <w:bCs w:val="false"/>
          <w:i w:val="false"/>
          <w:iCs w:val="false"/>
          <w:color w:val="212121"/>
          <w:sz w:val="22"/>
          <w:szCs w:val="22"/>
        </w:rPr>
        <w:t xml:space="preserve">Un factor de riesgo psicosocial es, según la norma, aquel que puede provocar trastornos de ansiedad, del ciclo sueño-vigilia o de estrés grave y de adaptación, derivado de la naturaleza del puesto, el tipo de jornada, la exposición a acontecimientos traumáticos severos o los actos de violencia laboral.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E0E0E0" w:sz="1"/>
              <w:left w:val="single" w:color="E0E0E0" w:sz="1"/>
              <w:bottom w:val="single" w:color="E0E0E0" w:sz="1"/>
              <w:right w:val="single" w:color="E0E0E0" w:sz="1"/>
            </w:tcBorders>
            <w:shd w:fill="EDE7F6" w:val="clear"/>
            <w:tcMar>
              <w:top w:type="dxa" w:w="60"/>
              <w:left w:type="dxa" w:w="100"/>
              <w:bottom w:type="dxa" w:w="60"/>
              <w:right w:type="dxa" w:w="100"/>
            </w:tcMar>
          </w:tcPr>
          <w:p>
            <w:pPr>
              <w:spacing w:after="20" w:before="20"/>
            </w:pPr>
            <w:r>
              <w:rPr>
                <w:rFonts w:ascii="Arial" w:cs="Arial" w:eastAsia="Arial" w:hAnsi="Arial"/>
                <w:b/>
                <w:bCs/>
                <w:color w:val="4B0082"/>
                <w:sz w:val="21"/>
                <w:szCs w:val="21"/>
              </w:rPr>
              <w:t xml:space="preserve">Tamaño del centro de trabajo</w:t>
            </w:r>
          </w:p>
        </w:tc>
        <w:tc>
          <w:tcPr>
            <w:tcW w:type="dxa" w:w="4760"/>
            <w:tcBorders>
              <w:top w:val="single" w:color="E0E0E0" w:sz="1"/>
              <w:left w:val="single" w:color="E0E0E0" w:sz="1"/>
              <w:bottom w:val="single" w:color="E0E0E0" w:sz="1"/>
              <w:right w:val="single" w:color="E0E0E0" w:sz="1"/>
            </w:tcBorders>
            <w:shd w:fill="EDE7F6" w:val="clear"/>
            <w:tcMar>
              <w:top w:type="dxa" w:w="60"/>
              <w:left w:type="dxa" w:w="100"/>
              <w:bottom w:type="dxa" w:w="60"/>
              <w:right w:type="dxa" w:w="100"/>
            </w:tcMar>
          </w:tcPr>
          <w:p>
            <w:pPr>
              <w:spacing w:after="20" w:before="20"/>
            </w:pPr>
            <w:r>
              <w:rPr>
                <w:rFonts w:ascii="Arial" w:cs="Arial" w:eastAsia="Arial" w:hAnsi="Arial"/>
                <w:b/>
                <w:bCs/>
                <w:color w:val="4B0082"/>
                <w:sz w:val="21"/>
                <w:szCs w:val="21"/>
              </w:rPr>
              <w:t xml:space="preserve">Qué debe hacer</w:t>
            </w:r>
          </w:p>
        </w:tc>
        <w:tc>
          <w:tcPr>
            <w:tcW w:type="dxa" w:w="2000"/>
            <w:tcBorders>
              <w:top w:val="single" w:color="E0E0E0" w:sz="1"/>
              <w:left w:val="single" w:color="E0E0E0" w:sz="1"/>
              <w:bottom w:val="single" w:color="E0E0E0" w:sz="1"/>
              <w:right w:val="single" w:color="E0E0E0" w:sz="1"/>
            </w:tcBorders>
            <w:shd w:fill="EDE7F6" w:val="clear"/>
            <w:tcMar>
              <w:top w:type="dxa" w:w="60"/>
              <w:left w:type="dxa" w:w="100"/>
              <w:bottom w:type="dxa" w:w="60"/>
              <w:right w:type="dxa" w:w="100"/>
            </w:tcMar>
          </w:tcPr>
          <w:p>
            <w:pPr>
              <w:spacing w:after="20" w:before="20"/>
            </w:pPr>
            <w:r>
              <w:rPr>
                <w:rFonts w:ascii="Arial" w:cs="Arial" w:eastAsia="Arial" w:hAnsi="Arial"/>
                <w:b/>
                <w:bCs/>
                <w:color w:val="4B0082"/>
                <w:sz w:val="21"/>
                <w:szCs w:val="21"/>
              </w:rPr>
              <w:t xml:space="preserve">Guías aplicables</w:t>
            </w:r>
          </w:p>
        </w:tc>
      </w:tr>
      <w:tr>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Hasta 15 trabajadores</w:t>
            </w:r>
          </w:p>
        </w:tc>
        <w:tc>
          <w:tcPr>
            <w:tcW w:type="dxa" w:w="47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Política de prevención, difusión de información e identificación de acontecimientos traumáticos severos (Guía I). No requiere aplicar cuestionario.</w:t>
            </w:r>
          </w:p>
        </w:tc>
        <w:tc>
          <w:tcPr>
            <w:tcW w:type="dxa" w:w="2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Guía I + Guía IV</w:t>
            </w:r>
          </w:p>
        </w:tc>
      </w:tr>
      <w:tr>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16 a 50 trabajadores</w:t>
            </w:r>
          </w:p>
        </w:tc>
        <w:tc>
          <w:tcPr>
            <w:tcW w:type="dxa" w:w="47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Lo anterior + identificación y análisis de los factores de riesgo psicosocial, a todos los trabajadores. No incluye evaluación del entorno organizacional.</w:t>
            </w:r>
          </w:p>
        </w:tc>
        <w:tc>
          <w:tcPr>
            <w:tcW w:type="dxa" w:w="2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Guía I + Guía II + Guía IV</w:t>
            </w:r>
          </w:p>
        </w:tc>
      </w:tr>
      <w:tr>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Más de 50 trabajadores</w:t>
            </w:r>
          </w:p>
        </w:tc>
        <w:tc>
          <w:tcPr>
            <w:tcW w:type="dxa" w:w="47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Lo anterior + evaluación del entorno organizacional. La aplicación puede hacerse sobre una muestra representativa.</w:t>
            </w:r>
          </w:p>
        </w:tc>
        <w:tc>
          <w:tcPr>
            <w:tcW w:type="dxa" w:w="2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Guía I + Guía III + Guía IV</w:t>
            </w:r>
          </w:p>
        </w:tc>
      </w:tr>
    </w:tbl>
    <w:p>
      <w:pPr>
        <w:spacing w:after="0" w:before="0"/>
      </w:pPr>
    </w:p>
    <w:p>
      <w:pPr>
        <w:spacing w:after="60" w:before="60"/>
        <w:jc w:val="left"/>
      </w:pPr>
      <w:r>
        <w:rPr>
          <w:rFonts w:ascii="Arial" w:cs="Arial" w:eastAsia="Arial" w:hAnsi="Arial"/>
          <w:b/>
          <w:bCs/>
          <w:i w:val="false"/>
          <w:iCs w:val="false"/>
          <w:color w:val="212121"/>
          <w:sz w:val="22"/>
          <w:szCs w:val="22"/>
        </w:rPr>
        <w:t xml:space="preserve">Obligaciones del patrón (Capítulo 5) y de los trabajadores (Capítulo 6)</w:t>
      </w:r>
    </w:p>
    <w:p>
      <w:pPr>
        <w:pStyle w:val="ListParagraph"/>
        <w:numPr>
          <w:ilvl w:val="0"/>
          <w:numId w:val="2"/>
        </w:numPr>
        <w:spacing w:after="40" w:before="40"/>
      </w:pPr>
      <w:r>
        <w:rPr>
          <w:rFonts w:ascii="Arial" w:cs="Arial" w:eastAsia="Arial" w:hAnsi="Arial"/>
          <w:color w:val="212121"/>
          <w:sz w:val="22"/>
          <w:szCs w:val="22"/>
        </w:rPr>
        <w:t xml:space="preserve">Patrón: establecer por escrito, implantar y difundir una política de prevención de riesgos psicosociales (aplica a cualquier tamaño).</w:t>
      </w:r>
    </w:p>
    <w:p>
      <w:pPr>
        <w:pStyle w:val="ListParagraph"/>
        <w:numPr>
          <w:ilvl w:val="0"/>
          <w:numId w:val="2"/>
        </w:numPr>
        <w:spacing w:after="40" w:before="40"/>
      </w:pPr>
      <w:r>
        <w:rPr>
          <w:rFonts w:ascii="Arial" w:cs="Arial" w:eastAsia="Arial" w:hAnsi="Arial"/>
          <w:color w:val="212121"/>
          <w:sz w:val="22"/>
          <w:szCs w:val="22"/>
        </w:rPr>
        <w:t xml:space="preserve">Patrón: identificar y analizar los factores de riesgo psicosocial (16+) y evaluar el entorno organizacional (50+).</w:t>
      </w:r>
    </w:p>
    <w:p>
      <w:pPr>
        <w:pStyle w:val="ListParagraph"/>
        <w:numPr>
          <w:ilvl w:val="0"/>
          <w:numId w:val="2"/>
        </w:numPr>
        <w:spacing w:after="40" w:before="40"/>
      </w:pPr>
      <w:r>
        <w:rPr>
          <w:rFonts w:ascii="Arial" w:cs="Arial" w:eastAsia="Arial" w:hAnsi="Arial"/>
          <w:color w:val="212121"/>
          <w:sz w:val="22"/>
          <w:szCs w:val="22"/>
        </w:rPr>
        <w:t xml:space="preserve">Patrón: adoptar medidas de prevención y control, difundir información, llevar registros y practicar exámenes médicos/psicológicos cuando el resultado o las quejas lo sugieran.</w:t>
      </w:r>
    </w:p>
    <w:p>
      <w:pPr>
        <w:pStyle w:val="ListParagraph"/>
        <w:numPr>
          <w:ilvl w:val="0"/>
          <w:numId w:val="2"/>
        </w:numPr>
        <w:spacing w:after="40" w:before="40"/>
      </w:pPr>
      <w:r>
        <w:rPr>
          <w:rFonts w:ascii="Arial" w:cs="Arial" w:eastAsia="Arial" w:hAnsi="Arial"/>
          <w:color w:val="212121"/>
          <w:sz w:val="22"/>
          <w:szCs w:val="22"/>
        </w:rPr>
        <w:t xml:space="preserve">Patrón: identificar a quienes vivieron acontecimientos traumáticos severos y canalizarlos a atención médica o psicológica.</w:t>
      </w:r>
    </w:p>
    <w:p>
      <w:pPr>
        <w:pStyle w:val="ListParagraph"/>
        <w:numPr>
          <w:ilvl w:val="0"/>
          <w:numId w:val="2"/>
        </w:numPr>
        <w:spacing w:after="40" w:before="40"/>
      </w:pPr>
      <w:r>
        <w:rPr>
          <w:rFonts w:ascii="Arial" w:cs="Arial" w:eastAsia="Arial" w:hAnsi="Arial"/>
          <w:color w:val="212121"/>
          <w:sz w:val="22"/>
          <w:szCs w:val="22"/>
        </w:rPr>
        <w:t xml:space="preserve">Trabajadores: observar las medidas de prevención, participar en la identificación, abstenerse de prácticas contrarias al entorno favorable y denunciar la violencia laboral.</w:t>
      </w:r>
    </w:p>
    <w:p>
      <w:pPr>
        <w:pStyle w:val="ListParagraph"/>
        <w:numPr>
          <w:ilvl w:val="0"/>
          <w:numId w:val="2"/>
        </w:numPr>
        <w:spacing w:after="40" w:before="40"/>
      </w:pPr>
      <w:r>
        <w:rPr>
          <w:rFonts w:ascii="Arial" w:cs="Arial" w:eastAsia="Arial" w:hAnsi="Arial"/>
          <w:color w:val="212121"/>
          <w:sz w:val="22"/>
          <w:szCs w:val="22"/>
        </w:rPr>
        <w:t xml:space="preserve">Trabajadores: informar por escrito al patrón sobre acontecimientos traumáticos severos y someterse a los exámenes que determine la norma.</w:t>
      </w:r>
    </w:p>
    <w:p>
      <w:pPr>
        <w:pStyle w:val="Heading2"/>
        <w:spacing w:after="180" w:before="360"/>
      </w:pPr>
      <w:r>
        <w:rPr>
          <w:rFonts w:ascii="Arial" w:cs="Arial" w:eastAsia="Arial" w:hAnsi="Arial"/>
          <w:b/>
          <w:bCs/>
          <w:color w:val="6A0DAD"/>
          <w:sz w:val="32"/>
          <w:szCs w:val="32"/>
        </w:rPr>
        <w:t xml:space="preserve">5.6 Cómo se identifican, analizan y evalúan los factores</w:t>
      </w:r>
    </w:p>
    <w:p>
      <w:pPr>
        <w:spacing w:after="60" w:before="60"/>
        <w:jc w:val="left"/>
      </w:pPr>
      <w:r>
        <w:rPr>
          <w:rFonts w:ascii="Arial" w:cs="Arial" w:eastAsia="Arial" w:hAnsi="Arial"/>
          <w:b w:val="false"/>
          <w:bCs w:val="false"/>
          <w:i w:val="false"/>
          <w:iCs w:val="false"/>
          <w:color w:val="212121"/>
          <w:sz w:val="22"/>
          <w:szCs w:val="22"/>
        </w:rPr>
        <w:t xml:space="preserve">El centro de trabajo puede usar las Guías de referencia oficiales (Guía II para 16–50 trabajadores, 46 reactivos; Guía III para más de 50, 72 reactivos) o un método propio que cumpla los numerales 7.4 y 7.5. Ambos cuestionarios se responden con una escala Likert de cinco opciones (Siempre / Casi siempre / Algunas veces / Casi nunca / Nunca) y agrupan los reactivos por dimensión, dominio y categoría.</w:t>
      </w:r>
    </w:p>
    <w:p>
      <w:pPr>
        <w:spacing w:after="60" w:before="60"/>
        <w:jc w:val="left"/>
      </w:pPr>
      <w:r>
        <w:rPr>
          <w:rFonts w:ascii="Arial" w:cs="Arial" w:eastAsia="Arial" w:hAnsi="Arial"/>
          <w:b w:val="false"/>
          <w:bCs w:val="false"/>
          <w:i w:val="false"/>
          <w:iCs w:val="false"/>
          <w:color w:val="212121"/>
          <w:sz w:val="22"/>
          <w:szCs w:val="22"/>
        </w:rPr>
        <w:t xml:space="preserve">La diferencia clave entre ambas guías está en la última categoría: solo la Guía III —obligatoria para centros de más de 50 trabajadores— evalúa el entorno organizacional. La Guía II no lo hace.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460"/>
        <w:gridCol w:w="1200"/>
        <w:gridCol w:w="1200"/>
      </w:tblGrid>
      <w:tr>
        <w:trPr>
          <w:tblHeader/>
        </w:trPr>
        <w:tc>
          <w:tcPr>
            <w:tcW w:type="dxa" w:w="2500"/>
            <w:tcBorders>
              <w:top w:val="single" w:color="E0E0E0" w:sz="1"/>
              <w:left w:val="single" w:color="E0E0E0" w:sz="1"/>
              <w:bottom w:val="single" w:color="E0E0E0" w:sz="1"/>
              <w:right w:val="single" w:color="E0E0E0" w:sz="1"/>
            </w:tcBorders>
            <w:shd w:fill="EDE7F6" w:val="clear"/>
            <w:tcMar>
              <w:top w:type="dxa" w:w="60"/>
              <w:left w:type="dxa" w:w="100"/>
              <w:bottom w:type="dxa" w:w="60"/>
              <w:right w:type="dxa" w:w="100"/>
            </w:tcMar>
          </w:tcPr>
          <w:p>
            <w:pPr>
              <w:spacing w:after="20" w:before="20"/>
            </w:pPr>
            <w:r>
              <w:rPr>
                <w:rFonts w:ascii="Arial" w:cs="Arial" w:eastAsia="Arial" w:hAnsi="Arial"/>
                <w:b/>
                <w:bCs/>
                <w:color w:val="4B0082"/>
                <w:sz w:val="21"/>
                <w:szCs w:val="21"/>
              </w:rPr>
              <w:t xml:space="preserve">Categoría</w:t>
            </w:r>
          </w:p>
        </w:tc>
        <w:tc>
          <w:tcPr>
            <w:tcW w:type="dxa" w:w="4460"/>
            <w:tcBorders>
              <w:top w:val="single" w:color="E0E0E0" w:sz="1"/>
              <w:left w:val="single" w:color="E0E0E0" w:sz="1"/>
              <w:bottom w:val="single" w:color="E0E0E0" w:sz="1"/>
              <w:right w:val="single" w:color="E0E0E0" w:sz="1"/>
            </w:tcBorders>
            <w:shd w:fill="EDE7F6" w:val="clear"/>
            <w:tcMar>
              <w:top w:type="dxa" w:w="60"/>
              <w:left w:type="dxa" w:w="100"/>
              <w:bottom w:type="dxa" w:w="60"/>
              <w:right w:type="dxa" w:w="100"/>
            </w:tcMar>
          </w:tcPr>
          <w:p>
            <w:pPr>
              <w:spacing w:after="20" w:before="20"/>
            </w:pPr>
            <w:r>
              <w:rPr>
                <w:rFonts w:ascii="Arial" w:cs="Arial" w:eastAsia="Arial" w:hAnsi="Arial"/>
                <w:b/>
                <w:bCs/>
                <w:color w:val="4B0082"/>
                <w:sz w:val="21"/>
                <w:szCs w:val="21"/>
              </w:rPr>
              <w:t xml:space="preserve">Qué agrupa</w:t>
            </w:r>
          </w:p>
        </w:tc>
        <w:tc>
          <w:tcPr>
            <w:tcW w:type="dxa" w:w="1200"/>
            <w:tcBorders>
              <w:top w:val="single" w:color="E0E0E0" w:sz="1"/>
              <w:left w:val="single" w:color="E0E0E0" w:sz="1"/>
              <w:bottom w:val="single" w:color="E0E0E0" w:sz="1"/>
              <w:right w:val="single" w:color="E0E0E0" w:sz="1"/>
            </w:tcBorders>
            <w:shd w:fill="EDE7F6" w:val="clear"/>
            <w:tcMar>
              <w:top w:type="dxa" w:w="60"/>
              <w:left w:type="dxa" w:w="100"/>
              <w:bottom w:type="dxa" w:w="60"/>
              <w:right w:type="dxa" w:w="100"/>
            </w:tcMar>
          </w:tcPr>
          <w:p>
            <w:pPr>
              <w:spacing w:after="20" w:before="20"/>
            </w:pPr>
            <w:r>
              <w:rPr>
                <w:rFonts w:ascii="Arial" w:cs="Arial" w:eastAsia="Arial" w:hAnsi="Arial"/>
                <w:b/>
                <w:bCs/>
                <w:color w:val="4B0082"/>
                <w:sz w:val="21"/>
                <w:szCs w:val="21"/>
              </w:rPr>
              <w:t xml:space="preserve">Guía II (16–50)</w:t>
            </w:r>
          </w:p>
        </w:tc>
        <w:tc>
          <w:tcPr>
            <w:tcW w:type="dxa" w:w="1200"/>
            <w:tcBorders>
              <w:top w:val="single" w:color="E0E0E0" w:sz="1"/>
              <w:left w:val="single" w:color="E0E0E0" w:sz="1"/>
              <w:bottom w:val="single" w:color="E0E0E0" w:sz="1"/>
              <w:right w:val="single" w:color="E0E0E0" w:sz="1"/>
            </w:tcBorders>
            <w:shd w:fill="EDE7F6" w:val="clear"/>
            <w:tcMar>
              <w:top w:type="dxa" w:w="60"/>
              <w:left w:type="dxa" w:w="100"/>
              <w:bottom w:type="dxa" w:w="60"/>
              <w:right w:type="dxa" w:w="100"/>
            </w:tcMar>
          </w:tcPr>
          <w:p>
            <w:pPr>
              <w:spacing w:after="20" w:before="20"/>
            </w:pPr>
            <w:r>
              <w:rPr>
                <w:rFonts w:ascii="Arial" w:cs="Arial" w:eastAsia="Arial" w:hAnsi="Arial"/>
                <w:b/>
                <w:bCs/>
                <w:color w:val="4B0082"/>
                <w:sz w:val="21"/>
                <w:szCs w:val="21"/>
              </w:rPr>
              <w:t xml:space="preserve">Guía III (+50)</w:t>
            </w:r>
          </w:p>
        </w:tc>
      </w:tr>
      <w:tr>
        <w:tc>
          <w:tcPr>
            <w:tcW w:type="dxa" w:w="2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Ambiente de trabajo</w:t>
            </w:r>
          </w:p>
        </w:tc>
        <w:tc>
          <w:tcPr>
            <w:tcW w:type="dxa" w:w="44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Condiciones peligrosas, inseguras, deficientes o insalubres</w:t>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Sí</w:t>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Sí</w:t>
            </w:r>
          </w:p>
        </w:tc>
      </w:tr>
      <w:tr>
        <w:tc>
          <w:tcPr>
            <w:tcW w:type="dxa" w:w="2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Factores propios de la actividad</w:t>
            </w:r>
          </w:p>
        </w:tc>
        <w:tc>
          <w:tcPr>
            <w:tcW w:type="dxa" w:w="44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Cargas de trabajo y falta de control sobre el trabajo</w:t>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Sí</w:t>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Sí</w:t>
            </w:r>
          </w:p>
        </w:tc>
      </w:tr>
      <w:tr>
        <w:tc>
          <w:tcPr>
            <w:tcW w:type="dxa" w:w="2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Organización del tiempo de trabajo</w:t>
            </w:r>
          </w:p>
        </w:tc>
        <w:tc>
          <w:tcPr>
            <w:tcW w:type="dxa" w:w="44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Jornada de trabajo e interferencia trabajo-familia</w:t>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Sí</w:t>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Sí</w:t>
            </w:r>
          </w:p>
        </w:tc>
      </w:tr>
      <w:tr>
        <w:tc>
          <w:tcPr>
            <w:tcW w:type="dxa" w:w="2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Liderazgo y relaciones en el trabajo</w:t>
            </w:r>
          </w:p>
        </w:tc>
        <w:tc>
          <w:tcPr>
            <w:tcW w:type="dxa" w:w="44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Liderazgo, relaciones y violencia laboral</w:t>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Sí</w:t>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Sí</w:t>
            </w:r>
          </w:p>
        </w:tc>
      </w:tr>
      <w:tr>
        <w:tc>
          <w:tcPr>
            <w:tcW w:type="dxa" w:w="2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Entorno organizacional</w:t>
            </w:r>
          </w:p>
        </w:tc>
        <w:tc>
          <w:tcPr>
            <w:tcW w:type="dxa" w:w="44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Reconocimiento del desempeño, sentido de pertenencia y estabilidad laboral</w:t>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No aplica</w:t>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Sí</w:t>
            </w:r>
          </w:p>
        </w:tc>
      </w:tr>
    </w:tbl>
    <w:p>
      <w:pPr>
        <w:spacing w:after="0" w:before="0"/>
      </w:pPr>
    </w:p>
    <w:p>
      <w:pPr>
        <w:spacing w:after="60" w:before="60"/>
        <w:jc w:val="left"/>
      </w:pPr>
      <w:r>
        <w:rPr>
          <w:rFonts w:ascii="Arial" w:cs="Arial" w:eastAsia="Arial" w:hAnsi="Arial"/>
          <w:b/>
          <w:bCs/>
          <w:i w:val="false"/>
          <w:iCs w:val="false"/>
          <w:color w:val="212121"/>
          <w:sz w:val="22"/>
          <w:szCs w:val="22"/>
        </w:rPr>
        <w:t xml:space="preserve">Además, la norma exige (numerales 5.8, 7.6 a 7.9)</w:t>
      </w:r>
    </w:p>
    <w:p>
      <w:pPr>
        <w:pStyle w:val="ListParagraph"/>
        <w:numPr>
          <w:ilvl w:val="0"/>
          <w:numId w:val="2"/>
        </w:numPr>
        <w:spacing w:after="40" w:before="40"/>
      </w:pPr>
      <w:r>
        <w:rPr>
          <w:rFonts w:ascii="Arial" w:cs="Arial" w:eastAsia="Arial" w:hAnsi="Arial"/>
          <w:color w:val="212121"/>
          <w:sz w:val="22"/>
          <w:szCs w:val="22"/>
        </w:rPr>
        <w:t xml:space="preserve">Integrar el resultado al diagnóstico de seguridad y salud de la NOM-030-STPS-2009.</w:t>
      </w:r>
    </w:p>
    <w:p>
      <w:pPr>
        <w:pStyle w:val="ListParagraph"/>
        <w:numPr>
          <w:ilvl w:val="0"/>
          <w:numId w:val="2"/>
        </w:numPr>
        <w:spacing w:after="40" w:before="40"/>
      </w:pPr>
      <w:r>
        <w:rPr>
          <w:rFonts w:ascii="Arial" w:cs="Arial" w:eastAsia="Arial" w:hAnsi="Arial"/>
          <w:color w:val="212121"/>
          <w:sz w:val="22"/>
          <w:szCs w:val="22"/>
        </w:rPr>
        <w:t xml:space="preserve">Hacer constar el resultado en un informe con contenido definido (datos del centro, método, resultados, conclusiones, recomendaciones y responsable de la evaluación).</w:t>
      </w:r>
    </w:p>
    <w:p>
      <w:pPr>
        <w:pStyle w:val="ListParagraph"/>
        <w:numPr>
          <w:ilvl w:val="0"/>
          <w:numId w:val="2"/>
        </w:numPr>
        <w:spacing w:after="40" w:before="40"/>
      </w:pPr>
      <w:r>
        <w:rPr>
          <w:rFonts w:ascii="Arial" w:cs="Arial" w:eastAsia="Arial" w:hAnsi="Arial"/>
          <w:color w:val="212121"/>
          <w:sz w:val="22"/>
          <w:szCs w:val="22"/>
        </w:rPr>
        <w:t xml:space="preserve">Mantener el resultado disponible para consulta de los trabajadores, resguardando la confidencialidad de los datos individuales (Guía V — Datos del trabajador).</w:t>
      </w:r>
    </w:p>
    <w:p>
      <w:pPr>
        <w:pStyle w:val="ListParagraph"/>
        <w:numPr>
          <w:ilvl w:val="0"/>
          <w:numId w:val="2"/>
        </w:numPr>
        <w:spacing w:after="40" w:before="40"/>
      </w:pPr>
      <w:r>
        <w:rPr>
          <w:rFonts w:ascii="Arial" w:cs="Arial" w:eastAsia="Arial" w:hAnsi="Arial"/>
          <w:color w:val="212121"/>
          <w:sz w:val="22"/>
          <w:szCs w:val="22"/>
        </w:rPr>
        <w:t xml:space="preserve">Llevar registros de resultados, medidas de control y personal con exposición comprobada.</w:t>
      </w:r>
    </w:p>
    <w:p>
      <w:pPr>
        <w:pStyle w:val="ListParagraph"/>
        <w:numPr>
          <w:ilvl w:val="0"/>
          <w:numId w:val="2"/>
        </w:numPr>
        <w:spacing w:after="40" w:before="40"/>
      </w:pPr>
      <w:r>
        <w:rPr>
          <w:rFonts w:ascii="Arial" w:cs="Arial" w:eastAsia="Arial" w:hAnsi="Arial"/>
          <w:color w:val="212121"/>
          <w:sz w:val="22"/>
          <w:szCs w:val="22"/>
        </w:rPr>
        <w:t xml:space="preserve">Reevaluar los factores de riesgo psicosocial —y el entorno organizacional, en su caso— al menos cada dos años.</w:t>
      </w:r>
    </w:p>
    <w:p>
      <w:pPr>
        <w:pStyle w:val="Heading2"/>
        <w:spacing w:after="180" w:before="360"/>
      </w:pPr>
      <w:r>
        <w:rPr>
          <w:rFonts w:ascii="Arial" w:cs="Arial" w:eastAsia="Arial" w:hAnsi="Arial"/>
          <w:b/>
          <w:bCs/>
          <w:color w:val="6A0DAD"/>
          <w:sz w:val="32"/>
          <w:szCs w:val="32"/>
        </w:rPr>
        <w:t xml:space="preserve">5.7 Niveles de riesgo y qué hacer con el resultado</w:t>
      </w:r>
    </w:p>
    <w:p>
      <w:pPr>
        <w:spacing w:after="60" w:before="60"/>
        <w:jc w:val="left"/>
      </w:pPr>
      <w:r>
        <w:rPr>
          <w:rFonts w:ascii="Arial" w:cs="Arial" w:eastAsia="Arial" w:hAnsi="Arial"/>
          <w:b w:val="false"/>
          <w:bCs w:val="false"/>
          <w:i w:val="false"/>
          <w:iCs w:val="false"/>
          <w:color w:val="212121"/>
          <w:sz w:val="22"/>
          <w:szCs w:val="22"/>
        </w:rPr>
        <w:t xml:space="preserve">La calificación final del cuestionario ubica al centro de trabajo en uno de cinco niveles de riesgo. Cada nivel define la acción que la norma exige adoptar. Los cortes numéricos difieren entre la Guía II (46 reactivos) y la Guía III (72 reactivos), pero la lógica de cinco niveles es la misma.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0E0E0" w:sz="1"/>
              <w:left w:val="single" w:color="E0E0E0" w:sz="1"/>
              <w:bottom w:val="single" w:color="E0E0E0" w:sz="1"/>
              <w:right w:val="single" w:color="E0E0E0" w:sz="1"/>
            </w:tcBorders>
            <w:shd w:fill="EDE7F6" w:val="clear"/>
            <w:tcMar>
              <w:top w:type="dxa" w:w="60"/>
              <w:left w:type="dxa" w:w="100"/>
              <w:bottom w:type="dxa" w:w="60"/>
              <w:right w:type="dxa" w:w="100"/>
            </w:tcMar>
          </w:tcPr>
          <w:p>
            <w:pPr>
              <w:spacing w:after="20" w:before="20"/>
            </w:pPr>
            <w:r>
              <w:rPr>
                <w:rFonts w:ascii="Arial" w:cs="Arial" w:eastAsia="Arial" w:hAnsi="Arial"/>
                <w:b/>
                <w:bCs/>
                <w:color w:val="4B0082"/>
                <w:sz w:val="21"/>
                <w:szCs w:val="21"/>
              </w:rPr>
              <w:t xml:space="preserve">Nivel de riesgo</w:t>
            </w:r>
          </w:p>
        </w:tc>
        <w:tc>
          <w:tcPr>
            <w:tcW w:type="dxa" w:w="6760"/>
            <w:tcBorders>
              <w:top w:val="single" w:color="E0E0E0" w:sz="1"/>
              <w:left w:val="single" w:color="E0E0E0" w:sz="1"/>
              <w:bottom w:val="single" w:color="E0E0E0" w:sz="1"/>
              <w:right w:val="single" w:color="E0E0E0" w:sz="1"/>
            </w:tcBorders>
            <w:shd w:fill="EDE7F6" w:val="clear"/>
            <w:tcMar>
              <w:top w:type="dxa" w:w="60"/>
              <w:left w:type="dxa" w:w="100"/>
              <w:bottom w:type="dxa" w:w="60"/>
              <w:right w:type="dxa" w:w="100"/>
            </w:tcMar>
          </w:tcPr>
          <w:p>
            <w:pPr>
              <w:spacing w:after="20" w:before="20"/>
            </w:pPr>
            <w:r>
              <w:rPr>
                <w:rFonts w:ascii="Arial" w:cs="Arial" w:eastAsia="Arial" w:hAnsi="Arial"/>
                <w:b/>
                <w:bCs/>
                <w:color w:val="4B0082"/>
                <w:sz w:val="21"/>
                <w:szCs w:val="21"/>
              </w:rPr>
              <w:t xml:space="preserve">Acción que exige la norma (Tabla 4 / Tabla 7)</w:t>
            </w:r>
          </w:p>
        </w:tc>
      </w:tr>
      <w:tr>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Nulo o despreciable</w:t>
            </w:r>
          </w:p>
        </w:tc>
        <w:tc>
          <w:tcPr>
            <w:tcW w:type="dxa" w:w="67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No se requieren medidas adicionales.</w:t>
            </w:r>
          </w:p>
        </w:tc>
      </w:tr>
      <w:tr>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Bajo</w:t>
            </w:r>
          </w:p>
        </w:tc>
        <w:tc>
          <w:tcPr>
            <w:tcW w:type="dxa" w:w="67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Mayor difusión de la política y de los programas de prevención.</w:t>
            </w:r>
          </w:p>
        </w:tc>
      </w:tr>
      <w:tr>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Medio</w:t>
            </w:r>
          </w:p>
        </w:tc>
        <w:tc>
          <w:tcPr>
            <w:tcW w:type="dxa" w:w="67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Revisar la política y los programas y reforzar su aplicación y difusión, mediante un Programa de intervención.</w:t>
            </w:r>
          </w:p>
        </w:tc>
      </w:tr>
      <w:tr>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Alto</w:t>
            </w:r>
          </w:p>
        </w:tc>
        <w:tc>
          <w:tcPr>
            <w:tcW w:type="dxa" w:w="67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Analizar cada categoría y dominio y aplicar un Programa de intervención (puede incluir evaluación específica), además de revisar la política.</w:t>
            </w:r>
          </w:p>
        </w:tc>
      </w:tr>
      <w:tr>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Muy alto</w:t>
            </w:r>
          </w:p>
        </w:tc>
        <w:tc>
          <w:tcPr>
            <w:tcW w:type="dxa" w:w="67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Analizar cada categoría y dominio y aplicar un Programa de intervención que debe incluir evaluaciones específicas y campañas de sensibilización, además de revisar la política.</w:t>
            </w:r>
          </w:p>
        </w:tc>
      </w:tr>
    </w:tbl>
    <w:p>
      <w:pPr>
        <w:spacing w:after="0" w:before="0"/>
      </w:pPr>
    </w:p>
    <w:p>
      <w:pPr>
        <w:spacing w:after="60" w:before="60"/>
        <w:jc w:val="left"/>
      </w:pPr>
      <w:r>
        <w:rPr>
          <w:rFonts w:ascii="Arial" w:cs="Arial" w:eastAsia="Arial" w:hAnsi="Arial"/>
          <w:b/>
          <w:bCs/>
          <w:i w:val="false"/>
          <w:iCs w:val="false"/>
          <w:color w:val="212121"/>
          <w:sz w:val="22"/>
          <w:szCs w:val="22"/>
        </w:rPr>
        <w:t xml:space="preserve">Los tres niveles de intervención (numeral 8.5)</w:t>
      </w:r>
    </w:p>
    <w:p>
      <w:pPr>
        <w:pStyle w:val="ListParagraph"/>
        <w:numPr>
          <w:ilvl w:val="0"/>
          <w:numId w:val="2"/>
        </w:numPr>
        <w:spacing w:after="40" w:before="40"/>
      </w:pPr>
      <w:r>
        <w:rPr>
          <w:rFonts w:ascii="Arial" w:cs="Arial" w:eastAsia="Arial" w:hAnsi="Arial"/>
          <w:color w:val="212121"/>
          <w:sz w:val="22"/>
          <w:szCs w:val="22"/>
        </w:rPr>
        <w:t xml:space="preserve">Primer nivel (organizacional): actuar sobre la política de prevención y la organización del trabajo.</w:t>
      </w:r>
    </w:p>
    <w:p>
      <w:pPr>
        <w:pStyle w:val="ListParagraph"/>
        <w:numPr>
          <w:ilvl w:val="0"/>
          <w:numId w:val="2"/>
        </w:numPr>
        <w:spacing w:after="40" w:before="40"/>
      </w:pPr>
      <w:r>
        <w:rPr>
          <w:rFonts w:ascii="Arial" w:cs="Arial" w:eastAsia="Arial" w:hAnsi="Arial"/>
          <w:color w:val="212121"/>
          <w:sz w:val="22"/>
          <w:szCs w:val="22"/>
        </w:rPr>
        <w:t xml:space="preserve">Segundo nivel (grupal): sensibilización, manejo de conflictos, trabajo en equipo, comunicación asertiva y refuerzo del apoyo social.</w:t>
      </w:r>
    </w:p>
    <w:p>
      <w:pPr>
        <w:pStyle w:val="ListParagraph"/>
        <w:numPr>
          <w:ilvl w:val="0"/>
          <w:numId w:val="2"/>
        </w:numPr>
        <w:spacing w:after="40" w:before="40"/>
      </w:pPr>
      <w:r>
        <w:rPr>
          <w:rFonts w:ascii="Arial" w:cs="Arial" w:eastAsia="Arial" w:hAnsi="Arial"/>
          <w:color w:val="212121"/>
          <w:sz w:val="22"/>
          <w:szCs w:val="22"/>
        </w:rPr>
        <w:t xml:space="preserve">Tercer nivel (individual): intervención clínica o terapéutica cuando hay signos de alteración a la salud; debe realizarla, invariablemente, un médico, psicólogo o psiquiatra.</w:t>
      </w:r>
    </w:p>
    <w:tbl>
      <w:tblPr>
        <w:tblW w:type="dxa" w:w="9360"/>
        <w:tblBorders>
          <w:top w:val="single" w:color="D1C4E9" w:sz="4"/>
          <w:left w:val="single" w:color="D1C4E9" w:sz="4"/>
          <w:bottom w:val="single" w:color="D1C4E9" w:sz="4"/>
          <w:right w:val="single" w:color="D1C4E9" w:sz="4"/>
          <w:insideH w:val="single" w:color="D1C4E9" w:sz="4"/>
          <w:insideV w:val="single" w:color="D1C4E9" w:sz="4"/>
        </w:tblBorders>
      </w:tblPr>
      <w:tblGrid>
        <w:gridCol w:w="9360"/>
      </w:tblGrid>
      <w:tr>
        <w:tc>
          <w:tcPr>
            <w:tcW w:type="dxa" w:w="9360"/>
            <w:shd w:fill="EDE7F6" w:val="clear"/>
            <w:tcMar>
              <w:top w:type="dxa" w:w="80"/>
              <w:left w:type="dxa" w:w="120"/>
              <w:bottom w:type="dxa" w:w="80"/>
              <w:right w:type="dxa" w:w="120"/>
            </w:tcMar>
          </w:tcPr>
          <w:p>
            <w:pPr>
              <w:spacing w:after="40" w:before="40"/>
            </w:pPr>
            <w:r>
              <w:rPr>
                <w:rFonts w:ascii="Arial" w:cs="Arial" w:eastAsia="Arial" w:hAnsi="Arial"/>
                <w:b/>
                <w:bCs/>
                <w:color w:val="4B0082"/>
                <w:sz w:val="22"/>
                <w:szCs w:val="22"/>
              </w:rPr>
              <w:t xml:space="preserve">El Programa de intervención (numerales 8.3 y 8.4)</w:t>
            </w:r>
          </w:p>
          <w:p>
            <w:pPr>
              <w:spacing w:after="40" w:before="40"/>
            </w:pPr>
            <w:r>
              <w:rPr>
                <w:rFonts w:ascii="Arial" w:cs="Arial" w:eastAsia="Arial" w:hAnsi="Arial"/>
                <w:color w:val="212121"/>
                <w:sz w:val="22"/>
                <w:szCs w:val="22"/>
              </w:rPr>
              <w:t xml:space="preserve">Cuando el resultado es medio, alto o muy alto, las acciones de control se implementan mediante un Programa que debe indicar: las áreas o trabajadores sujetos al programa, el tipo de acciones y medidas de control, las fechas de realización, el control de avances, la evaluación posterior y el responsable de su ejecución.</w:t>
            </w:r>
          </w:p>
        </w:tc>
      </w:tr>
    </w:tbl>
    <w:p>
      <w:pPr>
        <w:spacing w:after="0" w:before="0"/>
      </w:pPr>
    </w:p>
    <w:p>
      <w:pPr>
        <w:pStyle w:val="Heading2"/>
        <w:spacing w:after="180" w:before="360"/>
      </w:pPr>
      <w:r>
        <w:rPr>
          <w:rFonts w:ascii="Arial" w:cs="Arial" w:eastAsia="Arial" w:hAnsi="Arial"/>
          <w:b/>
          <w:bCs/>
          <w:color w:val="6A0DAD"/>
          <w:sz w:val="32"/>
          <w:szCs w:val="32"/>
        </w:rPr>
        <w:t xml:space="preserve">5.8 Guía I: acontecimientos traumáticos severos y derivación</w:t>
      </w:r>
    </w:p>
    <w:p>
      <w:pPr>
        <w:spacing w:after="60" w:before="60"/>
        <w:jc w:val="left"/>
      </w:pPr>
      <w:r>
        <w:rPr>
          <w:rFonts w:ascii="Arial" w:cs="Arial" w:eastAsia="Arial" w:hAnsi="Arial"/>
          <w:b w:val="false"/>
          <w:bCs w:val="false"/>
          <w:i w:val="false"/>
          <w:iCs w:val="false"/>
          <w:color w:val="212121"/>
          <w:sz w:val="22"/>
          <w:szCs w:val="22"/>
        </w:rPr>
        <w:t xml:space="preserve">La Guía I identifica a las personas trabajadoras que fueron sujetos de un acontecimiento traumático severo durante o con motivo del trabajo (accidentes graves o mortales, asaltos, actos violentos, secuestros, amenazas o cualquier evento que ponga en riesgo la vida o la salud). Es obligatoria para todo centro de trabajo, sin importar su tamaño. Cuando el cuestionario detecta afectación, la norma obliga a canalizar a la persona a atención médica o psicológica (institución de seguridad social o privada, o el médico de la empresa).</w:t>
      </w:r>
    </w:p>
    <w:p>
      <w:pPr>
        <w:spacing w:after="60" w:before="60"/>
        <w:jc w:val="left"/>
      </w:pPr>
      <w:r>
        <w:rPr>
          <w:rFonts w:ascii="Arial" w:cs="Arial" w:eastAsia="Arial" w:hAnsi="Arial"/>
          <w:b w:val="false"/>
          <w:bCs w:val="false"/>
          <w:i w:val="false"/>
          <w:iCs w:val="false"/>
          <w:color w:val="212121"/>
          <w:sz w:val="22"/>
          <w:szCs w:val="22"/>
        </w:rPr>
        <w:t xml:space="preserve">El patrón también debe practicar exámenes médicos y evaluaciones psicológicas cuando existan signos de alteración a la salud, cuando el análisis de los factores de riesgo lo sugiera, o cuando haya quejas de violencia laboral (numeral 5.6).</w:t>
      </w:r>
    </w:p>
    <w:p>
      <w:pPr>
        <w:spacing w:after="60" w:before="60"/>
        <w:jc w:val="left"/>
      </w:pPr>
      <w:r>
        <w:rPr>
          <w:rFonts w:ascii="Arial" w:cs="Arial" w:eastAsia="Arial" w:hAnsi="Arial"/>
          <w:b w:val="false"/>
          <w:bCs w:val="false"/>
          <w:i w:val="false"/>
          <w:iCs w:val="false"/>
          <w:color w:val="212121"/>
          <w:sz w:val="22"/>
          <w:szCs w:val="22"/>
        </w:rPr>
        <w:t xml:space="preserve">Nota de práctica neuroafirmativa: para personal neurodivergente esta derivación tiene un riesgo específico. Una crisis sensorial (meltdown o shutdown) mal entendida por un evaluador sin formación neuroafirmativa puede patologizarse como una crisis psiquiátrica, cuando en realidad es una respuesta neurológica normal a la sobrecarga. Al derivar, la organización debe verificar que quien evalúa tenga formación neuroafirmativa o, como mínimo, advertir explícitamente ese contexto.</w:t>
      </w:r>
    </w:p>
    <w:p>
      <w:pPr>
        <w:pStyle w:val="Heading2"/>
        <w:spacing w:after="180" w:before="360"/>
      </w:pPr>
      <w:r>
        <w:rPr>
          <w:rFonts w:ascii="Arial" w:cs="Arial" w:eastAsia="Arial" w:hAnsi="Arial"/>
          <w:b/>
          <w:bCs/>
          <w:color w:val="6A0DAD"/>
          <w:sz w:val="32"/>
          <w:szCs w:val="32"/>
        </w:rPr>
        <w:t xml:space="preserve">5.9 Los puntos ciegos de la NOM-035 frente a la neurodivergencia</w:t>
      </w:r>
    </w:p>
    <w:p>
      <w:pPr>
        <w:spacing w:after="60" w:before="60"/>
        <w:jc w:val="left"/>
      </w:pPr>
      <w:r>
        <w:rPr>
          <w:rFonts w:ascii="Arial" w:cs="Arial" w:eastAsia="Arial" w:hAnsi="Arial"/>
          <w:b w:val="false"/>
          <w:bCs w:val="false"/>
          <w:i w:val="false"/>
          <w:iCs w:val="false"/>
          <w:color w:val="212121"/>
          <w:sz w:val="22"/>
          <w:szCs w:val="22"/>
        </w:rPr>
        <w:t xml:space="preserve">Los cuestionarios oficiales de la NOM-035 fueron diseñados pensando en una plantilla neurotípica. Eso no los invalida, pero sí significa que pueden no detectar riesgo psicosocial real y severo que sí está presente en personal neurodivergente, porque simplemente no preguntan por él.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130"/>
        <w:gridCol w:w="3530"/>
      </w:tblGrid>
      <w:tr>
        <w:trPr>
          <w:tblHeader/>
        </w:trPr>
        <w:tc>
          <w:tcPr>
            <w:tcW w:type="dxa" w:w="2700"/>
            <w:tcBorders>
              <w:top w:val="single" w:color="E0E0E0" w:sz="1"/>
              <w:left w:val="single" w:color="E0E0E0" w:sz="1"/>
              <w:bottom w:val="single" w:color="E0E0E0" w:sz="1"/>
              <w:right w:val="single" w:color="E0E0E0" w:sz="1"/>
            </w:tcBorders>
            <w:shd w:fill="EDE7F6" w:val="clear"/>
            <w:tcMar>
              <w:top w:type="dxa" w:w="60"/>
              <w:left w:type="dxa" w:w="100"/>
              <w:bottom w:type="dxa" w:w="60"/>
              <w:right w:type="dxa" w:w="100"/>
            </w:tcMar>
          </w:tcPr>
          <w:p>
            <w:pPr>
              <w:spacing w:after="20" w:before="20"/>
            </w:pPr>
            <w:r>
              <w:rPr>
                <w:rFonts w:ascii="Arial" w:cs="Arial" w:eastAsia="Arial" w:hAnsi="Arial"/>
                <w:b/>
                <w:bCs/>
                <w:color w:val="4B0082"/>
                <w:sz w:val="21"/>
                <w:szCs w:val="21"/>
              </w:rPr>
              <w:t xml:space="preserve">Dominio que mide la NOM-035</w:t>
            </w:r>
          </w:p>
        </w:tc>
        <w:tc>
          <w:tcPr>
            <w:tcW w:type="dxa" w:w="3130"/>
            <w:tcBorders>
              <w:top w:val="single" w:color="E0E0E0" w:sz="1"/>
              <w:left w:val="single" w:color="E0E0E0" w:sz="1"/>
              <w:bottom w:val="single" w:color="E0E0E0" w:sz="1"/>
              <w:right w:val="single" w:color="E0E0E0" w:sz="1"/>
            </w:tcBorders>
            <w:shd w:fill="EDE7F6" w:val="clear"/>
            <w:tcMar>
              <w:top w:type="dxa" w:w="60"/>
              <w:left w:type="dxa" w:w="100"/>
              <w:bottom w:type="dxa" w:w="60"/>
              <w:right w:type="dxa" w:w="100"/>
            </w:tcMar>
          </w:tcPr>
          <w:p>
            <w:pPr>
              <w:spacing w:after="20" w:before="20"/>
            </w:pPr>
            <w:r>
              <w:rPr>
                <w:rFonts w:ascii="Arial" w:cs="Arial" w:eastAsia="Arial" w:hAnsi="Arial"/>
                <w:b/>
                <w:bCs/>
                <w:color w:val="4B0082"/>
                <w:sz w:val="21"/>
                <w:szCs w:val="21"/>
              </w:rPr>
              <w:t xml:space="preserve">Qué evalúa el instrumento oficial</w:t>
            </w:r>
          </w:p>
        </w:tc>
        <w:tc>
          <w:tcPr>
            <w:tcW w:type="dxa" w:w="3530"/>
            <w:tcBorders>
              <w:top w:val="single" w:color="E0E0E0" w:sz="1"/>
              <w:left w:val="single" w:color="E0E0E0" w:sz="1"/>
              <w:bottom w:val="single" w:color="E0E0E0" w:sz="1"/>
              <w:right w:val="single" w:color="E0E0E0" w:sz="1"/>
            </w:tcBorders>
            <w:shd w:fill="EDE7F6" w:val="clear"/>
            <w:tcMar>
              <w:top w:type="dxa" w:w="60"/>
              <w:left w:type="dxa" w:w="100"/>
              <w:bottom w:type="dxa" w:w="60"/>
              <w:right w:type="dxa" w:w="100"/>
            </w:tcMar>
          </w:tcPr>
          <w:p>
            <w:pPr>
              <w:spacing w:after="20" w:before="20"/>
            </w:pPr>
            <w:r>
              <w:rPr>
                <w:rFonts w:ascii="Arial" w:cs="Arial" w:eastAsia="Arial" w:hAnsi="Arial"/>
                <w:b/>
                <w:bCs/>
                <w:color w:val="4B0082"/>
                <w:sz w:val="21"/>
                <w:szCs w:val="21"/>
              </w:rPr>
              <w:t xml:space="preserve">Qué se le escapa en personal neurodivergente</w:t>
            </w:r>
          </w:p>
        </w:tc>
      </w:tr>
      <w:tr>
        <w:tc>
          <w:tcPr>
            <w:tcW w:type="dxa" w:w="2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Carga de trabajo y control sobre las tareas</w:t>
            </w:r>
          </w:p>
        </w:tc>
        <w:tc>
          <w:tcPr>
            <w:tcW w:type="dxa" w:w="313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Ritmo, cantidad de trabajo, autonomía</w:t>
            </w:r>
          </w:p>
        </w:tc>
        <w:tc>
          <w:tcPr>
            <w:tcW w:type="dxa" w:w="353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Sobrecarga sensorial del entorno; necesidad de rutina y predictibilidad para sostener el ritmo</w:t>
            </w:r>
          </w:p>
        </w:tc>
      </w:tr>
      <w:tr>
        <w:tc>
          <w:tcPr>
            <w:tcW w:type="dxa" w:w="2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Liderazgo y relaciones en el trabajo</w:t>
            </w:r>
          </w:p>
        </w:tc>
        <w:tc>
          <w:tcPr>
            <w:tcW w:type="dxa" w:w="313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Apoyo del liderazgo, relaciones interpersonales</w:t>
            </w:r>
          </w:p>
        </w:tc>
        <w:tc>
          <w:tcPr>
            <w:tcW w:type="dxa" w:w="353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Exigencia de masking como condición de "buena actitud"; evaluación con criterios comunicativos neurotípicos</w:t>
            </w:r>
          </w:p>
        </w:tc>
      </w:tr>
      <w:tr>
        <w:tc>
          <w:tcPr>
            <w:tcW w:type="dxa" w:w="2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Violencia laboral</w:t>
            </w:r>
          </w:p>
        </w:tc>
        <w:tc>
          <w:tcPr>
            <w:tcW w:type="dxa" w:w="313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Acoso, hostigamiento y malos tratos genéricos</w:t>
            </w:r>
          </w:p>
        </w:tc>
        <w:tc>
          <w:tcPr>
            <w:tcW w:type="dxa" w:w="353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Burla del stimming, exigencia de contacto visual, exclusión por diferencias comunicativas</w:t>
            </w:r>
          </w:p>
        </w:tc>
      </w:tr>
      <w:tr>
        <w:tc>
          <w:tcPr>
            <w:tcW w:type="dxa" w:w="2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Acontecimientos traumáticos severos (Guía I)</w:t>
            </w:r>
          </w:p>
        </w:tc>
        <w:tc>
          <w:tcPr>
            <w:tcW w:type="dxa" w:w="313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Violencia física, asaltos, accidentes graves</w:t>
            </w:r>
          </w:p>
        </w:tc>
        <w:tc>
          <w:tcPr>
            <w:tcW w:type="dxa" w:w="353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Burnout autista por masking sostenido: es una acumulación, no un evento único, y el cuestionario no la captura</w:t>
            </w:r>
          </w:p>
        </w:tc>
      </w:tr>
      <w:tr>
        <w:tc>
          <w:tcPr>
            <w:tcW w:type="dxa" w:w="2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Entorno organizacional</w:t>
            </w:r>
          </w:p>
        </w:tc>
        <w:tc>
          <w:tcPr>
            <w:tcW w:type="dxa" w:w="313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Liderazgo, relación trabajo-familia</w:t>
            </w:r>
          </w:p>
        </w:tc>
        <w:tc>
          <w:tcPr>
            <w:tcW w:type="dxa" w:w="353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Ausencia de ajustes razonables y rigidez de horarios/rutinas como estrés crónico</w:t>
            </w:r>
          </w:p>
        </w:tc>
      </w:tr>
    </w:tbl>
    <w:p>
      <w:pPr>
        <w:spacing w:after="0" w:before="0"/>
      </w:pPr>
    </w:p>
    <w:tbl>
      <w:tblPr>
        <w:tblW w:type="dxa" w:w="9360"/>
        <w:tblBorders>
          <w:top w:val="single" w:color="D1C4E9" w:sz="4"/>
          <w:left w:val="single" w:color="D1C4E9" w:sz="4"/>
          <w:bottom w:val="single" w:color="D1C4E9" w:sz="4"/>
          <w:right w:val="single" w:color="D1C4E9" w:sz="4"/>
          <w:insideH w:val="single" w:color="D1C4E9" w:sz="4"/>
          <w:insideV w:val="single" w:color="D1C4E9" w:sz="4"/>
        </w:tblBorders>
      </w:tblPr>
      <w:tblGrid>
        <w:gridCol w:w="9360"/>
      </w:tblGrid>
      <w:tr>
        <w:tc>
          <w:tcPr>
            <w:tcW w:type="dxa" w:w="9360"/>
            <w:shd w:fill="EDE7F6" w:val="clear"/>
            <w:tcMar>
              <w:top w:type="dxa" w:w="80"/>
              <w:left w:type="dxa" w:w="120"/>
              <w:bottom w:type="dxa" w:w="80"/>
              <w:right w:type="dxa" w:w="120"/>
            </w:tcMar>
          </w:tcPr>
          <w:p>
            <w:pPr>
              <w:spacing w:after="40" w:before="40"/>
            </w:pPr>
            <w:r>
              <w:rPr>
                <w:rFonts w:ascii="Arial" w:cs="Arial" w:eastAsia="Arial" w:hAnsi="Arial"/>
                <w:b/>
                <w:bCs/>
                <w:color w:val="4B0082"/>
                <w:sz w:val="22"/>
                <w:szCs w:val="22"/>
              </w:rPr>
              <w:t xml:space="preserve">El punto central</w:t>
            </w:r>
          </w:p>
          <w:p>
            <w:pPr>
              <w:spacing w:after="40" w:before="40"/>
            </w:pPr>
            <w:r>
              <w:rPr>
                <w:rFonts w:ascii="Arial" w:cs="Arial" w:eastAsia="Arial" w:hAnsi="Arial"/>
                <w:color w:val="212121"/>
                <w:sz w:val="22"/>
                <w:szCs w:val="22"/>
              </w:rPr>
              <w:t xml:space="preserve">Cumplir la NOM-035 con el cuestionario oficial sin más no es incorrecto, pero sí es incompleto para una organización con personal neurodivergente: el riesgo psicosocial más severo para esa población puede quedar exactamente fuera de lo que el instrumento pregunta.</w:t>
            </w:r>
          </w:p>
        </w:tc>
      </w:tr>
    </w:tbl>
    <w:p>
      <w:pPr>
        <w:spacing w:after="0" w:before="0"/>
      </w:pPr>
    </w:p>
    <w:p>
      <w:pPr>
        <w:pStyle w:val="Heading2"/>
        <w:spacing w:after="180" w:before="360"/>
      </w:pPr>
      <w:r>
        <w:rPr>
          <w:rFonts w:ascii="Arial" w:cs="Arial" w:eastAsia="Arial" w:hAnsi="Arial"/>
          <w:b/>
          <w:bCs/>
          <w:color w:val="6A0DAD"/>
          <w:sz w:val="32"/>
          <w:szCs w:val="32"/>
        </w:rPr>
        <w:t xml:space="preserve">5.10 Anexo neurodivergente al cuestionario de factores de riesgo psicosocial</w:t>
      </w:r>
    </w:p>
    <w:p>
      <w:pPr>
        <w:spacing w:after="60" w:before="60"/>
        <w:jc w:val="left"/>
      </w:pPr>
      <w:r>
        <w:rPr>
          <w:rFonts w:ascii="Arial" w:cs="Arial" w:eastAsia="Arial" w:hAnsi="Arial"/>
          <w:b w:val="false"/>
          <w:bCs w:val="false"/>
          <w:i w:val="false"/>
          <w:iCs w:val="false"/>
          <w:color w:val="212121"/>
          <w:sz w:val="22"/>
          <w:szCs w:val="22"/>
        </w:rPr>
        <w:t xml:space="preserve">Este anexo no sustituye ni forma parte de las Guías oficiales de la NOM-035 — es un complemento que Alianza Índigo recomienda aplicar junto con el cuestionario oficial (Guía II o III, según el tamaño del centro de trabajo) para no dejar ciego el riesgo psicosocial específico de personal neurodivergente. Se responde con la misma escala Likert de 5 opciones.</w:t>
      </w:r>
    </w:p>
    <w:p>
      <w:pPr>
        <w:spacing w:after="60" w:before="60"/>
        <w:jc w:val="left"/>
      </w:pPr>
      <w:r>
        <w:rPr>
          <w:rFonts w:ascii="Arial" w:cs="Arial" w:eastAsia="Arial" w:hAnsi="Arial"/>
          <w:b w:val="false"/>
          <w:bCs w:val="false"/>
          <w:i w:val="false"/>
          <w:iCs w:val="false"/>
          <w:color w:val="212121"/>
          <w:sz w:val="22"/>
          <w:szCs w:val="22"/>
        </w:rPr>
        <w:t xml:space="preserve">Al ser un complemento y no el instrumento oficial, el anexo no reemplaza la validación estadística que el numeral 7.5 exige a los cuestionarios propios (alfa de Cronbach superior a 0.7, entre otros): esa exigencia recae sobre el cuestionario oficial que se sigue aplicando. El anexo aporta señales cualitativas para orientar ajustes y evaluaciones específicas, no una calificación formal de nivel de riesgo.</w:t>
      </w:r>
    </w:p>
    <w:p>
      <w:pPr>
        <w:spacing w:after="60" w:before="60"/>
        <w:jc w:val="left"/>
      </w:pPr>
      <w:r>
        <w:rPr>
          <w:rFonts w:ascii="Arial" w:cs="Arial" w:eastAsia="Arial" w:hAnsi="Arial"/>
          <w:b/>
          <w:bCs/>
          <w:i w:val="false"/>
          <w:iCs w:val="false"/>
          <w:color w:val="212121"/>
          <w:sz w:val="22"/>
          <w:szCs w:val="22"/>
        </w:rPr>
        <w:t xml:space="preserve">Reactivos sugeridos (aplicar junto con el cuestionario oficial vigente)</w:t>
      </w:r>
    </w:p>
    <w:p>
      <w:pPr>
        <w:pStyle w:val="ListParagraph"/>
        <w:numPr>
          <w:ilvl w:val="0"/>
          <w:numId w:val="2"/>
        </w:numPr>
        <w:spacing w:after="40" w:before="40"/>
      </w:pPr>
      <w:r>
        <w:rPr>
          <w:rFonts w:ascii="Arial" w:cs="Arial" w:eastAsia="Arial" w:hAnsi="Arial"/>
          <w:color w:val="212121"/>
          <w:sz w:val="22"/>
          <w:szCs w:val="22"/>
        </w:rPr>
        <w:t xml:space="preserve">En mi trabajo, el ambiente sensorial (ruido, luces, olores) me impide concentrarme o me genera agotamiento.</w:t>
      </w:r>
    </w:p>
    <w:p>
      <w:pPr>
        <w:pStyle w:val="ListParagraph"/>
        <w:numPr>
          <w:ilvl w:val="0"/>
          <w:numId w:val="2"/>
        </w:numPr>
        <w:spacing w:after="40" w:before="40"/>
      </w:pPr>
      <w:r>
        <w:rPr>
          <w:rFonts w:ascii="Arial" w:cs="Arial" w:eastAsia="Arial" w:hAnsi="Arial"/>
          <w:color w:val="212121"/>
          <w:sz w:val="22"/>
          <w:szCs w:val="22"/>
        </w:rPr>
        <w:t xml:space="preserve">Siento que debo ocultar mis rasgos naturales para ser bien visto en mi trabajo.</w:t>
      </w:r>
    </w:p>
    <w:p>
      <w:pPr>
        <w:pStyle w:val="ListParagraph"/>
        <w:numPr>
          <w:ilvl w:val="0"/>
          <w:numId w:val="2"/>
        </w:numPr>
        <w:spacing w:after="40" w:before="40"/>
      </w:pPr>
      <w:r>
        <w:rPr>
          <w:rFonts w:ascii="Arial" w:cs="Arial" w:eastAsia="Arial" w:hAnsi="Arial"/>
          <w:color w:val="212121"/>
          <w:sz w:val="22"/>
          <w:szCs w:val="22"/>
        </w:rPr>
        <w:t xml:space="preserve">Se me exige responder de inmediato en reuniones, sin tiempo para procesar antes de contestar.</w:t>
      </w:r>
    </w:p>
    <w:p>
      <w:pPr>
        <w:pStyle w:val="ListParagraph"/>
        <w:numPr>
          <w:ilvl w:val="0"/>
          <w:numId w:val="2"/>
        </w:numPr>
        <w:spacing w:after="40" w:before="40"/>
      </w:pPr>
      <w:r>
        <w:rPr>
          <w:rFonts w:ascii="Arial" w:cs="Arial" w:eastAsia="Arial" w:hAnsi="Arial"/>
          <w:color w:val="212121"/>
          <w:sz w:val="22"/>
          <w:szCs w:val="22"/>
        </w:rPr>
        <w:t xml:space="preserve">Los cambios de horario, tareas o rutina se me informan con tan poca anticipación que me generan estrés desproporcionado.</w:t>
      </w:r>
    </w:p>
    <w:p>
      <w:pPr>
        <w:pStyle w:val="ListParagraph"/>
        <w:numPr>
          <w:ilvl w:val="0"/>
          <w:numId w:val="2"/>
        </w:numPr>
        <w:spacing w:after="40" w:before="40"/>
      </w:pPr>
      <w:r>
        <w:rPr>
          <w:rFonts w:ascii="Arial" w:cs="Arial" w:eastAsia="Arial" w:hAnsi="Arial"/>
          <w:color w:val="212121"/>
          <w:sz w:val="22"/>
          <w:szCs w:val="22"/>
        </w:rPr>
        <w:t xml:space="preserve">He solicitado un ajuste razonable y no se me ha otorgado.</w:t>
      </w:r>
    </w:p>
    <w:p>
      <w:pPr>
        <w:pStyle w:val="ListParagraph"/>
        <w:numPr>
          <w:ilvl w:val="0"/>
          <w:numId w:val="2"/>
        </w:numPr>
        <w:spacing w:after="40" w:before="40"/>
      </w:pPr>
      <w:r>
        <w:rPr>
          <w:rFonts w:ascii="Arial" w:cs="Arial" w:eastAsia="Arial" w:hAnsi="Arial"/>
          <w:color w:val="212121"/>
          <w:sz w:val="22"/>
          <w:szCs w:val="22"/>
        </w:rPr>
        <w:t xml:space="preserve">Se ha cuestionado mi "actitud" o mi forma de comunicarme de manera que no tiene que ver con mi desempeño real.</w:t>
      </w:r>
    </w:p>
    <w:p>
      <w:pPr>
        <w:pStyle w:val="ListParagraph"/>
        <w:numPr>
          <w:ilvl w:val="0"/>
          <w:numId w:val="2"/>
        </w:numPr>
        <w:spacing w:after="40" w:before="40"/>
      </w:pPr>
      <w:r>
        <w:rPr>
          <w:rFonts w:ascii="Arial" w:cs="Arial" w:eastAsia="Arial" w:hAnsi="Arial"/>
          <w:color w:val="212121"/>
          <w:sz w:val="22"/>
          <w:szCs w:val="22"/>
        </w:rPr>
        <w:t xml:space="preserve">He sido objeto de burla, exclusión o comentarios por mi forma de comunicarme, de estimular o de relacionarme.</w:t>
      </w:r>
    </w:p>
    <w:p>
      <w:pPr>
        <w:pStyle w:val="ListParagraph"/>
        <w:numPr>
          <w:ilvl w:val="0"/>
          <w:numId w:val="2"/>
        </w:numPr>
        <w:spacing w:after="40" w:before="40"/>
      </w:pPr>
      <w:r>
        <w:rPr>
          <w:rFonts w:ascii="Arial" w:cs="Arial" w:eastAsia="Arial" w:hAnsi="Arial"/>
          <w:color w:val="212121"/>
          <w:sz w:val="22"/>
          <w:szCs w:val="22"/>
        </w:rPr>
        <w:t xml:space="preserve">Después de una jornada o semana laboral, necesito un tiempo de recuperación mucho mayor al del resto de mi equipo.</w:t>
      </w:r>
    </w:p>
    <w:p>
      <w:pPr>
        <w:pStyle w:val="Heading2"/>
        <w:spacing w:after="180" w:before="360"/>
      </w:pPr>
      <w:r>
        <w:rPr>
          <w:rFonts w:ascii="Arial" w:cs="Arial" w:eastAsia="Arial" w:hAnsi="Arial"/>
          <w:b/>
          <w:bCs/>
          <w:color w:val="6A0DAD"/>
          <w:sz w:val="32"/>
          <w:szCs w:val="32"/>
        </w:rPr>
        <w:t xml:space="preserve">5.11 Protocolo de violencia laboral con enfoque neuroafirmativo</w:t>
      </w:r>
    </w:p>
    <w:p>
      <w:pPr>
        <w:spacing w:after="60" w:before="60"/>
        <w:jc w:val="left"/>
      </w:pPr>
      <w:r>
        <w:rPr>
          <w:rFonts w:ascii="Arial" w:cs="Arial" w:eastAsia="Arial" w:hAnsi="Arial"/>
          <w:b w:val="false"/>
          <w:bCs w:val="false"/>
          <w:i w:val="false"/>
          <w:iCs w:val="false"/>
          <w:color w:val="212121"/>
          <w:sz w:val="22"/>
          <w:szCs w:val="22"/>
        </w:rPr>
        <w:t xml:space="preserve">La NOM-035 obliga a prevenir y atender la violencia laboral, pero su definición genérica de acoso y hostigamiento no siempre reconoce formas de discriminación que solo se activan contra personal neurodivergente. El protocolo de la organización debe nombrarlas explícitamente para que de verdad proteja a esa población, no solo en el papel.</w:t>
      </w:r>
    </w:p>
    <w:p>
      <w:pPr>
        <w:spacing w:after="60" w:before="60"/>
        <w:jc w:val="left"/>
      </w:pPr>
      <w:r>
        <w:rPr>
          <w:rFonts w:ascii="Arial" w:cs="Arial" w:eastAsia="Arial" w:hAnsi="Arial"/>
          <w:b/>
          <w:bCs/>
          <w:i w:val="false"/>
          <w:iCs w:val="false"/>
          <w:color w:val="212121"/>
          <w:sz w:val="22"/>
          <w:szCs w:val="22"/>
        </w:rPr>
        <w:t xml:space="preserve">Ejemplos que el protocolo debe reconocer explícitamente como violencia laboral</w:t>
      </w:r>
    </w:p>
    <w:p>
      <w:pPr>
        <w:pStyle w:val="ListParagraph"/>
        <w:numPr>
          <w:ilvl w:val="0"/>
          <w:numId w:val="2"/>
        </w:numPr>
        <w:spacing w:after="40" w:before="40"/>
      </w:pPr>
      <w:r>
        <w:rPr>
          <w:rFonts w:ascii="Arial" w:cs="Arial" w:eastAsia="Arial" w:hAnsi="Arial"/>
          <w:color w:val="212121"/>
          <w:sz w:val="22"/>
          <w:szCs w:val="22"/>
        </w:rPr>
        <w:t xml:space="preserve">Burlarse, imitar o pedir que se detenga el stimming de una persona.</w:t>
      </w:r>
    </w:p>
    <w:p>
      <w:pPr>
        <w:pStyle w:val="ListParagraph"/>
        <w:numPr>
          <w:ilvl w:val="0"/>
          <w:numId w:val="2"/>
        </w:numPr>
        <w:spacing w:after="40" w:before="40"/>
      </w:pPr>
      <w:r>
        <w:rPr>
          <w:rFonts w:ascii="Arial" w:cs="Arial" w:eastAsia="Arial" w:hAnsi="Arial"/>
          <w:color w:val="212121"/>
          <w:sz w:val="22"/>
          <w:szCs w:val="22"/>
        </w:rPr>
        <w:t xml:space="preserve">Excluir de reuniones, proyectos o convivios por ser "raro" o "difícil de tratar" socialmente.</w:t>
      </w:r>
    </w:p>
    <w:p>
      <w:pPr>
        <w:pStyle w:val="ListParagraph"/>
        <w:numPr>
          <w:ilvl w:val="0"/>
          <w:numId w:val="2"/>
        </w:numPr>
        <w:spacing w:after="40" w:before="40"/>
      </w:pPr>
      <w:r>
        <w:rPr>
          <w:rFonts w:ascii="Arial" w:cs="Arial" w:eastAsia="Arial" w:hAnsi="Arial"/>
          <w:color w:val="212121"/>
          <w:sz w:val="22"/>
          <w:szCs w:val="22"/>
        </w:rPr>
        <w:t xml:space="preserve">Exigir contacto visual, tono de voz o lenguaje corporal específico como condición para tomar en serio a alguien.</w:t>
      </w:r>
    </w:p>
    <w:p>
      <w:pPr>
        <w:pStyle w:val="ListParagraph"/>
        <w:numPr>
          <w:ilvl w:val="0"/>
          <w:numId w:val="2"/>
        </w:numPr>
        <w:spacing w:after="40" w:before="40"/>
      </w:pPr>
      <w:r>
        <w:rPr>
          <w:rFonts w:ascii="Arial" w:cs="Arial" w:eastAsia="Arial" w:hAnsi="Arial"/>
          <w:color w:val="212121"/>
          <w:sz w:val="22"/>
          <w:szCs w:val="22"/>
        </w:rPr>
        <w:t xml:space="preserve">Divulgar o cuestionar la autoidentificación de una persona como neurodivergente sin su consentimiento.</w:t>
      </w:r>
    </w:p>
    <w:p>
      <w:pPr>
        <w:pStyle w:val="ListParagraph"/>
        <w:numPr>
          <w:ilvl w:val="0"/>
          <w:numId w:val="2"/>
        </w:numPr>
        <w:spacing w:after="40" w:before="40"/>
      </w:pPr>
      <w:r>
        <w:rPr>
          <w:rFonts w:ascii="Arial" w:cs="Arial" w:eastAsia="Arial" w:hAnsi="Arial"/>
          <w:color w:val="212121"/>
          <w:sz w:val="22"/>
          <w:szCs w:val="22"/>
        </w:rPr>
        <w:t xml:space="preserve">Tomar represalias contra quien solicita un ajuste razonable o reporta una barrera de accesibilidad.</w:t>
      </w:r>
    </w:p>
    <w:p>
      <w:pPr>
        <w:pStyle w:val="Heading2"/>
        <w:spacing w:after="180" w:before="360"/>
      </w:pPr>
      <w:r>
        <w:rPr>
          <w:rFonts w:ascii="Arial" w:cs="Arial" w:eastAsia="Arial" w:hAnsi="Arial"/>
          <w:b/>
          <w:bCs/>
          <w:color w:val="6A0DAD"/>
          <w:sz w:val="32"/>
          <w:szCs w:val="32"/>
        </w:rPr>
        <w:t xml:space="preserve">5.12 Verificación, evaluación de la conformidad y vigencia</w:t>
      </w:r>
    </w:p>
    <w:p>
      <w:pPr>
        <w:spacing w:after="60" w:before="60"/>
        <w:jc w:val="left"/>
      </w:pPr>
      <w:r>
        <w:rPr>
          <w:rFonts w:ascii="Arial" w:cs="Arial" w:eastAsia="Arial" w:hAnsi="Arial"/>
          <w:b w:val="false"/>
          <w:bCs w:val="false"/>
          <w:i w:val="false"/>
          <w:iCs w:val="false"/>
          <w:color w:val="212121"/>
          <w:sz w:val="22"/>
          <w:szCs w:val="22"/>
        </w:rPr>
        <w:t xml:space="preserve">El cumplimiento de la NOM-035 lo verifica la autoridad laboral (STPS) mediante inspección, y el patrón puede además contratar de forma voluntaria una unidad de verificación acreditada, cuyo dictamen tiene una vigencia de dos años. La evaluación de la conformidad se realiza por constatación, revisión documental, registros o entrevistas.</w:t>
      </w:r>
    </w:p>
    <w:p>
      <w:pPr>
        <w:spacing w:after="60" w:before="60"/>
        <w:jc w:val="left"/>
      </w:pPr>
      <w:r>
        <w:rPr>
          <w:rFonts w:ascii="Arial" w:cs="Arial" w:eastAsia="Arial" w:hAnsi="Arial"/>
          <w:b w:val="false"/>
          <w:bCs w:val="false"/>
          <w:i w:val="false"/>
          <w:iCs w:val="false"/>
          <w:color w:val="212121"/>
          <w:sz w:val="22"/>
          <w:szCs w:val="22"/>
        </w:rPr>
        <w:t xml:space="preserve">La norma entró en vigor de forma escalonada: la política de prevención, la difusión y la identificación de acontecimientos traumáticos severos al año de su publicación; y la identificación y análisis de los factores de riesgo psicosocial, la evaluación del entorno organizacional, el Programa de intervención y las acciones de control, a los dos años. Los centros con certificado vigente de la NMX-R-025-SCFI-2015 (Igualdad Laboral y No Discriminación) dan por cumplidos algunos numerales de la norma.</w:t>
      </w:r>
    </w:p>
    <w:p>
      <w:pPr>
        <w:spacing w:after="60" w:before="60"/>
        <w:jc w:val="left"/>
      </w:pPr>
      <w:r>
        <w:rPr>
          <w:rFonts w:ascii="Arial" w:cs="Arial" w:eastAsia="Arial" w:hAnsi="Arial"/>
          <w:b w:val="false"/>
          <w:bCs w:val="false"/>
          <w:i w:val="false"/>
          <w:iCs w:val="false"/>
          <w:color w:val="212121"/>
          <w:sz w:val="22"/>
          <w:szCs w:val="22"/>
        </w:rPr>
        <w:t xml:space="preserve">Este bloque es el puente hacia el Módulo 10: buena parte de la evidencia documental de cumplimiento de la NOM-035 (política, informe de resultados, registros, Programa) se integra al mismo expediente que se prepara para la certificación CENI.</w:t>
      </w:r>
    </w:p>
    <w:p>
      <w:pPr>
        <w:pStyle w:val="Heading2"/>
        <w:spacing w:after="180" w:before="360"/>
      </w:pPr>
      <w:r>
        <w:rPr>
          <w:rFonts w:ascii="Arial" w:cs="Arial" w:eastAsia="Arial" w:hAnsi="Arial"/>
          <w:b/>
          <w:bCs/>
          <w:color w:val="6A0DAD"/>
          <w:sz w:val="32"/>
          <w:szCs w:val="32"/>
        </w:rPr>
        <w:t xml:space="preserve">5.13 Evaluación del módulo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r>
              <w:rPr>
                <w:rFonts w:ascii="Arial" w:cs="Arial" w:eastAsia="Arial" w:hAnsi="Arial"/>
                <w:b/>
                <w:bCs/>
                <w:color w:val="FFFFFF"/>
                <w:sz w:val="21"/>
                <w:szCs w:val="21"/>
              </w:rPr>
              <w:t xml:space="preserve">Componente de Evaluación</w:t>
            </w:r>
          </w:p>
        </w:tc>
        <w:tc>
          <w:tcPr>
            <w:tcW w:type="dxa" w:w="180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Tipo</w:t>
            </w:r>
          </w:p>
        </w:tc>
        <w:tc>
          <w:tcPr>
            <w:tcW w:type="dxa" w:w="180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Valor</w:t>
            </w:r>
          </w:p>
        </w:tc>
      </w:tr>
      <w:tr>
        <w:tc>
          <w:tcPr>
            <w:tcW w:type="dxa" w:w="576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r>
              <w:rPr>
                <w:rFonts w:ascii="Arial" w:cs="Arial" w:eastAsia="Arial" w:hAnsi="Arial"/>
                <w:color w:val="212121"/>
                <w:sz w:val="21"/>
                <w:szCs w:val="21"/>
              </w:rPr>
              <w:t xml:space="preserve">Quiz de 10 preguntas sobre derechos humanos y obligaciones legales</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color w:val="616161"/>
                <w:sz w:val="21"/>
                <w:szCs w:val="21"/>
              </w:rPr>
              <w:t xml:space="preserve">Opción múltiple</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30%</w:t>
            </w:r>
          </w:p>
        </w:tc>
      </w:tr>
      <w:tr>
        <w:tc>
          <w:tcPr>
            <w:tcW w:type="dxa" w:w="57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212121"/>
                <w:sz w:val="21"/>
                <w:szCs w:val="21"/>
              </w:rPr>
              <w:t xml:space="preserve">Análisis de un cuarto caso práctico proporcionado por el facilitador</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Arial" w:cs="Arial" w:eastAsia="Arial" w:hAnsi="Arial"/>
                <w:color w:val="616161"/>
                <w:sz w:val="21"/>
                <w:szCs w:val="21"/>
              </w:rPr>
              <w:t xml:space="preserve">Escrito — 400 palabras</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40%</w:t>
            </w:r>
          </w:p>
        </w:tc>
      </w:tr>
      <w:tr>
        <w:tc>
          <w:tcPr>
            <w:tcW w:type="dxa" w:w="576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r>
              <w:rPr>
                <w:rFonts w:ascii="Arial" w:cs="Arial" w:eastAsia="Arial" w:hAnsi="Arial"/>
                <w:color w:val="212121"/>
                <w:sz w:val="21"/>
                <w:szCs w:val="21"/>
              </w:rPr>
              <w:t xml:space="preserve">Autoevaluación de convencionalidad de la organización</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color w:val="616161"/>
                <w:sz w:val="21"/>
                <w:szCs w:val="21"/>
              </w:rPr>
              <w:t xml:space="preserve">Herramienta aplicada</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30%</w:t>
            </w:r>
          </w:p>
        </w:tc>
      </w:tr>
    </w:tbl>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B0082" w:val="clear"/>
            <w:tcMar>
              <w:top w:type="dxa" w:w="160"/>
              <w:left w:type="dxa" w:w="240"/>
              <w:bottom w:type="dxa" w:w="60"/>
              <w:right w:type="dxa" w:w="240"/>
            </w:tcMar>
          </w:tcPr>
          <w:p>
            <w:pPr>
              <w:jc w:val="left"/>
            </w:pPr>
            <w:r>
              <w:rPr>
                <w:rFonts w:ascii="Arial" w:cs="Arial" w:eastAsia="Arial" w:hAnsi="Arial"/>
                <w:b/>
                <w:bCs/>
                <w:color w:val="B39DDB"/>
                <w:sz w:val="22"/>
                <w:szCs w:val="22"/>
              </w:rPr>
              <w:t xml:space="preserve">MÓDULO 6</w:t>
            </w:r>
          </w:p>
          <w:p>
            <w:pPr>
              <w:jc w:val="left"/>
            </w:pPr>
            <w:r>
              <w:rPr>
                <w:rFonts w:ascii="Arial" w:cs="Arial" w:eastAsia="Arial" w:hAnsi="Arial"/>
                <w:b/>
                <w:bCs/>
                <w:color w:val="FFFFFF"/>
                <w:sz w:val="36"/>
                <w:szCs w:val="36"/>
              </w:rPr>
              <w:t xml:space="preserve">CENI LABORAL — CERTIFICACIÓN DE ENTORNOS LABORALES NEUROINCLUSIVOS</w:t>
            </w:r>
          </w:p>
        </w:tc>
      </w:tr>
      <w:tr>
        <w:tc>
          <w:tcPr>
            <w:tcBorders>
              <w:top w:val="none" w:color="FFFFFF" w:sz="0"/>
              <w:left w:val="none" w:color="FFFFFF" w:sz="0"/>
              <w:bottom w:val="none" w:color="FFFFFF" w:sz="0"/>
              <w:right w:val="none" w:color="FFFFFF" w:sz="0"/>
            </w:tcBorders>
            <w:shd w:fill="6A0DAD" w:val="clear"/>
            <w:tcMar>
              <w:top w:type="dxa" w:w="80"/>
              <w:left w:type="dxa" w:w="240"/>
              <w:bottom w:type="dxa" w:w="80"/>
              <w:right w:type="dxa" w:w="240"/>
            </w:tcMar>
          </w:tcPr>
          <w:p>
            <w:r>
              <w:rPr>
                <w:rFonts w:ascii="Arial" w:cs="Arial" w:eastAsia="Arial" w:hAnsi="Arial"/>
                <w:color w:val="FFFFFF"/>
                <w:sz w:val="20"/>
                <w:szCs w:val="20"/>
              </w:rPr>
              <w:t xml:space="preserve">Duración: 150 minutos   Dirigido a: Propietarios, RRHH, directivos, responsables de neuroinclusión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95C" w:sz="1"/>
              <w:left w:val="single" w:color="00695C" w:sz="1"/>
              <w:bottom w:val="single" w:color="00695C" w:sz="1"/>
              <w:right w:val="single" w:color="00695C" w:sz="1"/>
            </w:tcBorders>
            <w:shd w:fill="00695C" w:val="clear"/>
            <w:tcMar>
              <w:top w:type="dxa" w:w="80"/>
              <w:left w:type="dxa" w:w="160"/>
              <w:bottom w:type="dxa" w:w="80"/>
              <w:right w:type="dxa" w:w="160"/>
            </w:tcMar>
          </w:tcPr>
          <w:p>
            <w:r>
              <w:rPr>
                <w:rFonts w:ascii="Arial" w:cs="Arial" w:eastAsia="Arial" w:hAnsi="Arial"/>
                <w:b/>
                <w:bCs/>
                <w:color w:val="FFFFFF"/>
                <w:sz w:val="22"/>
                <w:szCs w:val="22"/>
              </w:rPr>
              <w:t xml:space="preserve">OBJETIVOS DEL MÓDULO</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Conocer en profundidad las seis dimensiones y treinta criterios de CENI Laboral.</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Comprender el sistema de puntuación, evidencias requeridas y umbrales de certificación.</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Realizar una autoevaluación inicial de la organización usando el instrumento CENI Laboral.</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Diseñar un plan de mejora prioritizado para alcanzar el nivel de certificación objetivo.</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Entender el proceso de auditoría externa y preparar la organización para él.</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6.1 Sistema de puntuación CENI Laboral</w:t>
      </w:r>
    </w:p>
    <w:p>
      <w:pPr>
        <w:spacing w:after="60" w:before="60"/>
        <w:jc w:val="left"/>
      </w:pPr>
      <w:r>
        <w:rPr>
          <w:rFonts w:ascii="Arial" w:cs="Arial" w:eastAsia="Arial" w:hAnsi="Arial"/>
          <w:b w:val="false"/>
          <w:bCs w:val="false"/>
          <w:i w:val="false"/>
          <w:iCs w:val="false"/>
          <w:color w:val="212121"/>
          <w:sz w:val="22"/>
          <w:szCs w:val="22"/>
        </w:rPr>
        <w:t xml:space="preserve">CENI Laboral evalúa 30 criterios organizados en 6 dimensiones. Cada criterio tiene un peso en puntos definido según su impacto en la neuroinclusión real. La puntuación total posible es de 1,000 puntos. Para obtener cualquier nivel de certificación se requiere, además, un mínimo de 40% en cada dimensión.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360C" w:sz="1"/>
              <w:left w:val="single" w:color="BF360C" w:sz="1"/>
              <w:bottom w:val="single" w:color="BF360C" w:sz="1"/>
              <w:right w:val="single" w:color="BF360C" w:sz="1"/>
            </w:tcBorders>
            <w:shd w:fill="FBE9E7" w:val="clear"/>
            <w:tcMar>
              <w:top w:type="dxa" w:w="100"/>
              <w:left w:type="dxa" w:w="120"/>
              <w:bottom w:type="dxa" w:w="100"/>
              <w:right w:type="dxa" w:w="120"/>
            </w:tcMar>
          </w:tcPr>
          <w:p>
            <w:pPr>
              <w:jc w:val="center"/>
            </w:pPr>
            <w:r>
              <w:rPr>
                <w:rFonts w:ascii="Arial" w:cs="Arial" w:eastAsia="Arial" w:hAnsi="Arial"/>
                <w:b/>
                <w:bCs/>
                <w:color w:val="BF360C"/>
                <w:sz w:val="24"/>
                <w:szCs w:val="24"/>
              </w:rPr>
              <w:t xml:space="preserve">🥉 BRONCE</w:t>
            </w:r>
          </w:p>
          <w:p>
            <w:pPr>
              <w:jc w:val="center"/>
            </w:pPr>
            <w:r>
              <w:rPr>
                <w:rFonts w:ascii="Arial" w:cs="Arial" w:eastAsia="Arial" w:hAnsi="Arial"/>
                <w:color w:val="BF360C"/>
                <w:sz w:val="22"/>
                <w:szCs w:val="22"/>
              </w:rPr>
              <w:t xml:space="preserve">500–649 puntos</w:t>
            </w:r>
          </w:p>
          <w:p>
            <w:pPr>
              <w:jc w:val="center"/>
            </w:pPr>
            <w:r>
              <w:rPr>
                <w:rFonts w:ascii="Arial" w:cs="Arial" w:eastAsia="Arial" w:hAnsi="Arial"/>
                <w:color w:val="616161"/>
                <w:sz w:val="20"/>
                <w:szCs w:val="20"/>
              </w:rPr>
              <w:t xml:space="preserve">Vigencia: 1 año</w:t>
            </w:r>
          </w:p>
        </w:tc>
        <w:tc>
          <w:tcPr>
            <w:tcW w:type="dxa" w:w="3120"/>
            <w:tcBorders>
              <w:top w:val="single" w:color="78909C" w:sz="1"/>
              <w:left w:val="single" w:color="78909C" w:sz="1"/>
              <w:bottom w:val="single" w:color="78909C" w:sz="1"/>
              <w:right w:val="single" w:color="78909C" w:sz="1"/>
            </w:tcBorders>
            <w:shd w:fill="ECEFF1" w:val="clear"/>
            <w:tcMar>
              <w:top w:type="dxa" w:w="100"/>
              <w:left w:type="dxa" w:w="120"/>
              <w:bottom w:type="dxa" w:w="100"/>
              <w:right w:type="dxa" w:w="120"/>
            </w:tcMar>
          </w:tcPr>
          <w:p>
            <w:pPr>
              <w:jc w:val="center"/>
            </w:pPr>
            <w:r>
              <w:rPr>
                <w:rFonts w:ascii="Arial" w:cs="Arial" w:eastAsia="Arial" w:hAnsi="Arial"/>
                <w:b/>
                <w:bCs/>
                <w:color w:val="78909C"/>
                <w:sz w:val="24"/>
                <w:szCs w:val="24"/>
              </w:rPr>
              <w:t xml:space="preserve">🥈 PLATA</w:t>
            </w:r>
          </w:p>
          <w:p>
            <w:pPr>
              <w:jc w:val="center"/>
            </w:pPr>
            <w:r>
              <w:rPr>
                <w:rFonts w:ascii="Arial" w:cs="Arial" w:eastAsia="Arial" w:hAnsi="Arial"/>
                <w:color w:val="78909C"/>
                <w:sz w:val="22"/>
                <w:szCs w:val="22"/>
              </w:rPr>
              <w:t xml:space="preserve">650–799 puntos</w:t>
            </w:r>
          </w:p>
          <w:p>
            <w:pPr>
              <w:jc w:val="center"/>
            </w:pPr>
            <w:r>
              <w:rPr>
                <w:rFonts w:ascii="Arial" w:cs="Arial" w:eastAsia="Arial" w:hAnsi="Arial"/>
                <w:color w:val="616161"/>
                <w:sz w:val="20"/>
                <w:szCs w:val="20"/>
              </w:rPr>
              <w:t xml:space="preserve">Vigencia: 2 años</w:t>
            </w:r>
          </w:p>
        </w:tc>
        <w:tc>
          <w:tcPr>
            <w:tcW w:type="dxa" w:w="3120"/>
            <w:tcBorders>
              <w:top w:val="single" w:color="F9A825" w:sz="1"/>
              <w:left w:val="single" w:color="F9A825" w:sz="1"/>
              <w:bottom w:val="single" w:color="F9A825" w:sz="1"/>
              <w:right w:val="single" w:color="F9A825" w:sz="1"/>
            </w:tcBorders>
            <w:shd w:fill="FFFDE7" w:val="clear"/>
            <w:tcMar>
              <w:top w:type="dxa" w:w="100"/>
              <w:left w:type="dxa" w:w="120"/>
              <w:bottom w:type="dxa" w:w="100"/>
              <w:right w:type="dxa" w:w="120"/>
            </w:tcMar>
          </w:tcPr>
          <w:p>
            <w:pPr>
              <w:jc w:val="center"/>
            </w:pPr>
            <w:r>
              <w:rPr>
                <w:rFonts w:ascii="Arial" w:cs="Arial" w:eastAsia="Arial" w:hAnsi="Arial"/>
                <w:b/>
                <w:bCs/>
                <w:color w:val="E65100"/>
                <w:sz w:val="24"/>
                <w:szCs w:val="24"/>
              </w:rPr>
              <w:t xml:space="preserve">🥇 ORO</w:t>
            </w:r>
          </w:p>
          <w:p>
            <w:pPr>
              <w:jc w:val="center"/>
            </w:pPr>
            <w:r>
              <w:rPr>
                <w:rFonts w:ascii="Arial" w:cs="Arial" w:eastAsia="Arial" w:hAnsi="Arial"/>
                <w:color w:val="E65100"/>
                <w:sz w:val="22"/>
                <w:szCs w:val="22"/>
              </w:rPr>
              <w:t xml:space="preserve">800–1,000 puntos</w:t>
            </w:r>
          </w:p>
          <w:p>
            <w:pPr>
              <w:jc w:val="center"/>
            </w:pPr>
            <w:r>
              <w:rPr>
                <w:rFonts w:ascii="Arial" w:cs="Arial" w:eastAsia="Arial" w:hAnsi="Arial"/>
                <w:color w:val="616161"/>
                <w:sz w:val="20"/>
                <w:szCs w:val="20"/>
              </w:rPr>
              <w:t xml:space="preserve">Vigencia: 3 años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Dimensión 1</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Políticas y Compromiso — 150 pts (5 criterios × 30 pts)</w:t>
            </w:r>
          </w:p>
        </w:tc>
      </w:tr>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Dimensión 2</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Reclutamiento y Selección — 200 pts (5 criterios × 40 pts)</w:t>
            </w:r>
          </w:p>
        </w:tc>
      </w:tr>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Dimensión 3</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Ambiente y Cultura — 250 pts (5 criterios × 50 pts)</w:t>
            </w:r>
          </w:p>
        </w:tc>
      </w:tr>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Dimensión 4</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Desarrollo y Retención — 200 pts (5 criterios × 40 pts)</w:t>
            </w:r>
          </w:p>
        </w:tc>
      </w:tr>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Dimensión 5</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Gestión de Crisis — 100 pts (5 criterios × 20 pts)</w:t>
            </w:r>
          </w:p>
        </w:tc>
      </w:tr>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Dimensión 6</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Medición e Impacto — 100 pts (5 criterios × 20 pts)</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6.2 Dimensión 1 — Políticas y Compromiso (150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4B0082" w:sz="1"/>
              <w:left w:val="single" w:color="4B0082" w:sz="1"/>
              <w:bottom w:val="single" w:color="4B0082" w:sz="1"/>
              <w:right w:val="single" w:color="4B0082" w:sz="1"/>
            </w:tcBorders>
            <w:shd w:fill="4B0082" w:val="clear"/>
            <w:tcMar>
              <w:top w:type="dxa" w:w="100"/>
              <w:left w:type="dxa" w:w="160"/>
              <w:bottom w:type="dxa" w:w="100"/>
              <w:right w:type="dxa" w:w="160"/>
            </w:tcMar>
          </w:tcPr>
          <w:p>
            <w:r>
              <w:rPr>
                <w:rFonts w:ascii="Arial" w:cs="Arial" w:eastAsia="Arial" w:hAnsi="Arial"/>
                <w:b/>
                <w:bCs/>
                <w:color w:val="FFFFFF"/>
                <w:sz w:val="24"/>
                <w:szCs w:val="24"/>
              </w:rPr>
              <w:t xml:space="preserve">DIMENSIÓN 1: Políticas y Compromiso</w:t>
            </w:r>
          </w:p>
        </w:tc>
        <w:tc>
          <w:tcPr>
            <w:tcW w:type="dxa" w:w="2160"/>
            <w:tcBorders>
              <w:top w:val="single" w:color="4B0082" w:sz="1"/>
              <w:left w:val="single" w:color="4B0082" w:sz="1"/>
              <w:bottom w:val="single" w:color="4B0082" w:sz="1"/>
              <w:right w:val="single" w:color="4B0082" w:sz="1"/>
            </w:tcBorders>
            <w:shd w:fill="4B0082"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150 pts</w:t>
            </w:r>
          </w:p>
        </w:tc>
      </w:tr>
    </w:tbl>
    <w:p>
      <w:pPr>
        <w:spacing w:after="120" w:before="0"/>
      </w:pPr>
      <w:r>
        <w:t xml:space="preserve"/>
      </w:r>
    </w:p>
    <w:p>
      <w:pPr>
        <w:spacing w:after="60" w:before="60"/>
        <w:jc w:val="left"/>
      </w:pPr>
      <w:r>
        <w:rPr>
          <w:rFonts w:ascii="Arial" w:cs="Arial" w:eastAsia="Arial" w:hAnsi="Arial"/>
          <w:b w:val="false"/>
          <w:bCs w:val="false"/>
          <w:i w:val="false"/>
          <w:iCs w:val="false"/>
          <w:color w:val="212121"/>
          <w:sz w:val="22"/>
          <w:szCs w:val="22"/>
        </w:rPr>
        <w:t xml:space="preserve">Esta dimensión evalúa el compromiso institucional formal: que la neuroinclusión exista como política aprobada por la dirección, con presupuesto, responsable designado y plan estratégico — no como buena voluntad informal.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980"/>
        <w:gridCol w:w="1980"/>
      </w:tblGrid>
      <w:tr>
        <w:tc>
          <w:tcPr>
            <w:tcW w:type="dxa" w:w="6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48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Criterio</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Evidencia requerida</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Pts</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D1-C1</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Política formal de neurodiversidad aprobada por la dirección general y comunicada a toda la organización.</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Política firmada y fechada por la dirección</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30</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D1-C2</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Presupuesto asignado específicamente para la inclusión neurodivergente.</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Partida presupuestal documentada</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30</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D1-C3</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Declaración pública de compromiso con la neurodiversidad (sitio web, materiales corporativos).</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Capturas del sitio web y materiales publicados</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30</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D1-C4</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Responsable designado de neurodiversidad con autoridad presupuestal.</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Nombramiento formal + descripción de funciones</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30</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D1-C5</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Plan estratégico de inclusión con metas, plazos y responsables.</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Plan estratégico vigente</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30</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6.3 Dimensión 2 — Reclutamiento y Selección (200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6A0DAD" w:sz="1"/>
              <w:left w:val="single" w:color="6A0DAD" w:sz="1"/>
              <w:bottom w:val="single" w:color="6A0DAD" w:sz="1"/>
              <w:right w:val="single" w:color="6A0DAD" w:sz="1"/>
            </w:tcBorders>
            <w:shd w:fill="6A0DAD" w:val="clear"/>
            <w:tcMar>
              <w:top w:type="dxa" w:w="100"/>
              <w:left w:type="dxa" w:w="160"/>
              <w:bottom w:type="dxa" w:w="100"/>
              <w:right w:type="dxa" w:w="160"/>
            </w:tcMar>
          </w:tcPr>
          <w:p>
            <w:r>
              <w:rPr>
                <w:rFonts w:ascii="Arial" w:cs="Arial" w:eastAsia="Arial" w:hAnsi="Arial"/>
                <w:b/>
                <w:bCs/>
                <w:color w:val="FFFFFF"/>
                <w:sz w:val="24"/>
                <w:szCs w:val="24"/>
              </w:rPr>
              <w:t xml:space="preserve">DIMENSIÓN 2: Reclutamiento y Selección</w:t>
            </w:r>
          </w:p>
        </w:tc>
        <w:tc>
          <w:tcPr>
            <w:tcW w:type="dxa" w:w="2160"/>
            <w:tcBorders>
              <w:top w:val="single" w:color="6A0DAD" w:sz="1"/>
              <w:left w:val="single" w:color="6A0DAD" w:sz="1"/>
              <w:bottom w:val="single" w:color="6A0DAD" w:sz="1"/>
              <w:right w:val="single" w:color="6A0DAD" w:sz="1"/>
            </w:tcBorders>
            <w:shd w:fill="6A0DAD"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200 pts</w:t>
            </w:r>
          </w:p>
        </w:tc>
      </w:tr>
    </w:tbl>
    <w:p>
      <w:pPr>
        <w:spacing w:after="120" w:before="0"/>
      </w:pPr>
      <w:r>
        <w:t xml:space="preserve"/>
      </w:r>
    </w:p>
    <w:p>
      <w:pPr>
        <w:spacing w:after="60" w:before="60"/>
        <w:jc w:val="left"/>
      </w:pPr>
      <w:r>
        <w:rPr>
          <w:rFonts w:ascii="Arial" w:cs="Arial" w:eastAsia="Arial" w:hAnsi="Arial"/>
          <w:b w:val="false"/>
          <w:bCs w:val="false"/>
          <w:i w:val="false"/>
          <w:iCs w:val="false"/>
          <w:color w:val="212121"/>
          <w:sz w:val="22"/>
          <w:szCs w:val="22"/>
        </w:rPr>
        <w:t xml:space="preserve">Esta dimensión evalúa si el proceso de incorporación está diseñado para que las personas neurodivergentes demuestren sus competencias reales, eliminando las barreras comunicativas, sociales y de formato que sistemáticamente las excluyen.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980"/>
        <w:gridCol w:w="1980"/>
      </w:tblGrid>
      <w:tr>
        <w:tc>
          <w:tcPr>
            <w:tcW w:type="dxa" w:w="6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48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Criterio</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Evidencia requerida</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Pts</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D2-C1</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Descripción de vacantes en lenguaje neuroinclusivo, sin requisitos sociales innecesarios como excluyentes.</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Últimas 3 ofertas de trabajo publicadas</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40</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D2-C2</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Entrevistas adaptadas disponibles: escritas, con guía previa, sin preguntas ambiguas.</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Protocolo escrito del proceso de selección</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40</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D2-C3</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Evaluaciones diversificadas: pruebas prácticas, portafolio, periodos de prueba remunerados.</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Formatos e instrumentos de evaluación utilizados</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40</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D2-C4</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Proceso documentado de eliminación de sesgos neuronormativos en la selección.</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Procedimiento documentado + evidencia de aplicación</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40</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D2-C5</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Metas cuantificables de contratación neurodivergente.</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Metas en el plan estratégico + seguimiento</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40</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6.4 Dimensión 3 — Ambiente y Cultura (250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0695C" w:sz="1"/>
              <w:left w:val="single" w:color="00695C" w:sz="1"/>
              <w:bottom w:val="single" w:color="00695C" w:sz="1"/>
              <w:right w:val="single" w:color="00695C" w:sz="1"/>
            </w:tcBorders>
            <w:shd w:fill="00695C" w:val="clear"/>
            <w:tcMar>
              <w:top w:type="dxa" w:w="100"/>
              <w:left w:type="dxa" w:w="160"/>
              <w:bottom w:type="dxa" w:w="100"/>
              <w:right w:type="dxa" w:w="160"/>
            </w:tcMar>
          </w:tcPr>
          <w:p>
            <w:r>
              <w:rPr>
                <w:rFonts w:ascii="Arial" w:cs="Arial" w:eastAsia="Arial" w:hAnsi="Arial"/>
                <w:b/>
                <w:bCs/>
                <w:color w:val="FFFFFF"/>
                <w:sz w:val="24"/>
                <w:szCs w:val="24"/>
              </w:rPr>
              <w:t xml:space="preserve">DIMENSIÓN 3: Ambiente y Cultura</w:t>
            </w:r>
          </w:p>
        </w:tc>
        <w:tc>
          <w:tcPr>
            <w:tcW w:type="dxa" w:w="2160"/>
            <w:tcBorders>
              <w:top w:val="single" w:color="00695C" w:sz="1"/>
              <w:left w:val="single" w:color="00695C" w:sz="1"/>
              <w:bottom w:val="single" w:color="00695C" w:sz="1"/>
              <w:right w:val="single" w:color="00695C" w:sz="1"/>
            </w:tcBorders>
            <w:shd w:fill="00695C"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250 pts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980"/>
        <w:gridCol w:w="1980"/>
      </w:tblGrid>
      <w:tr>
        <w:tc>
          <w:tcPr>
            <w:tcW w:type="dxa" w:w="6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48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Criterio</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Evidencia requerida</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Pts</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D3-C1</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Iluminación regulable: ≤500 lux en áreas de trabajo, LED sin parpadeo.</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Mediciones de luxómetro datadas + fotografías</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50</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D3-C2</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Control de ruido: ≤45 dB en áreas de concentración y espacio de regulación sensorial disponible (≤35 dB, ≤200 lux).</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Mediciones de sonómetro + fotografías del espacio de regulación</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50</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D3-C3</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Opciones de trabajo remoto/híbrido y flexibilidad horaria documentadas.</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Política escrita + registro de uso</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50</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D3-C4</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Comunicación organizacional clara, directa y explícita, sin expectativas implícitas.</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Muestras de comunicados internos</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50</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D3-C5</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Cultura de celebración de la neurodiversidad: stimming permitido, masking no requerido, diferencias bienvenidas.</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Política interna + entrevistas confidenciales + observación directa (triangulación)</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50</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6.5 Dimensión 4 — Desarrollo y Retención (200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E65100" w:sz="1"/>
              <w:left w:val="single" w:color="E65100" w:sz="1"/>
              <w:bottom w:val="single" w:color="E65100" w:sz="1"/>
              <w:right w:val="single" w:color="E65100" w:sz="1"/>
            </w:tcBorders>
            <w:shd w:fill="E65100" w:val="clear"/>
            <w:tcMar>
              <w:top w:type="dxa" w:w="100"/>
              <w:left w:type="dxa" w:w="160"/>
              <w:bottom w:type="dxa" w:w="100"/>
              <w:right w:type="dxa" w:w="160"/>
            </w:tcMar>
          </w:tcPr>
          <w:p>
            <w:r>
              <w:rPr>
                <w:rFonts w:ascii="Arial" w:cs="Arial" w:eastAsia="Arial" w:hAnsi="Arial"/>
                <w:b/>
                <w:bCs/>
                <w:color w:val="FFFFFF"/>
                <w:sz w:val="24"/>
                <w:szCs w:val="24"/>
              </w:rPr>
              <w:t xml:space="preserve">DIMENSIÓN 4: Desarrollo y Retención</w:t>
            </w:r>
          </w:p>
        </w:tc>
        <w:tc>
          <w:tcPr>
            <w:tcW w:type="dxa" w:w="2160"/>
            <w:tcBorders>
              <w:top w:val="single" w:color="E65100" w:sz="1"/>
              <w:left w:val="single" w:color="E65100" w:sz="1"/>
              <w:bottom w:val="single" w:color="E65100" w:sz="1"/>
              <w:right w:val="single" w:color="E65100" w:sz="1"/>
            </w:tcBorders>
            <w:shd w:fill="E65100"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200 pts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980"/>
        <w:gridCol w:w="1980"/>
      </w:tblGrid>
      <w:tr>
        <w:tc>
          <w:tcPr>
            <w:tcW w:type="dxa" w:w="6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48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Criterio</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Evidencia requerida</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Pts</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D4-C1</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Programa de inducción adaptado: guía escrita del espacio, presentación gradual, buddy system.</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Protocolo de inducción neuroinclusiva</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40</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D4-C2</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Mentoría específica para empleados neurodivergentes.</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Programa de mentoría + registros de sesiones</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40</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D4-C3</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Plan de carrera accesible que no depende de habilidades sociales convencionales.</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Plan de carrera documentado</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40</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D4-C4</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Evaluaciones de desempeño justas que valoran resultados sobre apariencia social.</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Formato de evaluación de desempeño vigente</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40</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D4-C5</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Tasa de retención de empleados neurodivergentes medida y reportada anualmente.</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Reporte anual con indicador de retención</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40</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6.6 Dimensión 5 — Gestión de Crisis (100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tcPr>
          <w:p>
            <w:r>
              <w:rPr>
                <w:rFonts w:ascii="Arial" w:cs="Arial" w:eastAsia="Arial" w:hAnsi="Arial"/>
                <w:b/>
                <w:bCs/>
                <w:color w:val="FFFFFF"/>
                <w:sz w:val="24"/>
                <w:szCs w:val="24"/>
              </w:rPr>
              <w:t xml:space="preserve">DIMENSIÓN 5: Gestión de Crisis</w:t>
            </w:r>
          </w:p>
        </w:tc>
        <w:tc>
          <w:tcPr>
            <w:tcW w:type="dxa" w:w="216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100 pts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980"/>
        <w:gridCol w:w="1980"/>
      </w:tblGrid>
      <w:tr>
        <w:tc>
          <w:tcPr>
            <w:tcW w:type="dxa" w:w="6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48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Criterio</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Evidencia requerida</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Pts</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D5-C1</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Protocolo documentado de meltdown/shutdown, no punitivo y basado en apoyo.</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Protocolo escrito de gestión de crisis</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20</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D5-C2</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Personal capacitado en primeros auxilios emocionales y regulación sensorial.</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Constancias de capacitación</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20</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D5-C3</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Espacio de descompresión disponible en todo momento laboral.</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Fotografías + política de acceso libre</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20</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D5-C4</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Canal confidencial de reporte de discriminación o acoso por neurodivergencia.</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Canal activo + registro de casos</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20</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D5-C5</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Proceso de mediación accesible con opciones no verbales.</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Procedimiento de mediación documentado</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20</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6.7 Dimensión 6 — Medición e Impacto (100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4B0082" w:sz="1"/>
              <w:left w:val="single" w:color="4B0082" w:sz="1"/>
              <w:bottom w:val="single" w:color="4B0082" w:sz="1"/>
              <w:right w:val="single" w:color="4B0082" w:sz="1"/>
            </w:tcBorders>
            <w:shd w:fill="4B0082" w:val="clear"/>
            <w:tcMar>
              <w:top w:type="dxa" w:w="100"/>
              <w:left w:type="dxa" w:w="160"/>
              <w:bottom w:type="dxa" w:w="100"/>
              <w:right w:type="dxa" w:w="160"/>
            </w:tcMar>
          </w:tcPr>
          <w:p>
            <w:r>
              <w:rPr>
                <w:rFonts w:ascii="Arial" w:cs="Arial" w:eastAsia="Arial" w:hAnsi="Arial"/>
                <w:b/>
                <w:bCs/>
                <w:color w:val="FFFFFF"/>
                <w:sz w:val="24"/>
                <w:szCs w:val="24"/>
              </w:rPr>
              <w:t xml:space="preserve">DIMENSIÓN 6: Medición e Impacto</w:t>
            </w:r>
          </w:p>
        </w:tc>
        <w:tc>
          <w:tcPr>
            <w:tcW w:type="dxa" w:w="2160"/>
            <w:tcBorders>
              <w:top w:val="single" w:color="4B0082" w:sz="1"/>
              <w:left w:val="single" w:color="4B0082" w:sz="1"/>
              <w:bottom w:val="single" w:color="4B0082" w:sz="1"/>
              <w:right w:val="single" w:color="4B0082" w:sz="1"/>
            </w:tcBorders>
            <w:shd w:fill="4B0082"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100 pts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980"/>
        <w:gridCol w:w="1980"/>
      </w:tblGrid>
      <w:tr>
        <w:tc>
          <w:tcPr>
            <w:tcW w:type="dxa" w:w="6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48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Criterio</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Evidencia requerida</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Pts</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D6-C1</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Indicadores de inclusión definidos, medidos y publicados internamente.</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Tablero o reporte de indicadores</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20</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D6-C2</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Encuestas de clima laboral con preguntas específicas sobre experiencia neurodivergente.</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Encuesta más reciente + resultados</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20</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D6-C3</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Reporte anual de neurodiversidad presentado a la dirección general.</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Reporte anual con acuse de la dirección</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20</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D6-C4</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Benchmarking con empresas del mismo sector.</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Estudio o registro comparativo</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20</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D6-C5</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Evidencia documentada de mejora continua.</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Plan de mejora + registro de avances</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20</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6.8 Proceso de auditoría CENI Laboral</w:t>
      </w:r>
    </w:p>
    <w:p>
      <w:pPr>
        <w:spacing w:after="60" w:before="60"/>
        <w:jc w:val="left"/>
      </w:pPr>
      <w:r>
        <w:rPr>
          <w:rFonts w:ascii="Arial" w:cs="Arial" w:eastAsia="Arial" w:hAnsi="Arial"/>
          <w:b w:val="false"/>
          <w:bCs w:val="false"/>
          <w:i w:val="false"/>
          <w:iCs w:val="false"/>
          <w:color w:val="212121"/>
          <w:sz w:val="22"/>
          <w:szCs w:val="22"/>
        </w:rPr>
        <w:t xml:space="preserve">La auditoría CENI Laboral es realizada por auditores certificados por Alianza Índigo Neurodivergente A.C. El proceso tiene cuatro etapas:</w:t>
      </w:r>
    </w:p>
    <w:p>
      <w:pPr>
        <w:pStyle w:val="ListParagraph"/>
        <w:numPr>
          <w:ilvl w:val="0"/>
          <w:numId w:val="3"/>
        </w:numPr>
        <w:spacing w:after="40" w:before="40"/>
      </w:pPr>
      <w:r>
        <w:rPr>
          <w:rFonts w:ascii="Arial" w:cs="Arial" w:eastAsia="Arial" w:hAnsi="Arial"/>
          <w:color w:val="212121"/>
          <w:sz w:val="22"/>
          <w:szCs w:val="22"/>
        </w:rPr>
        <w:t xml:space="preserve">Etapa 1 — Solicitud y Autoevaluación: la organización completa el formulario y la autoevaluación con la herramienta oficial. Acuse de recepción en máximo 5 días hábiles.</w:t>
      </w:r>
    </w:p>
    <w:p>
      <w:pPr>
        <w:pStyle w:val="ListParagraph"/>
        <w:numPr>
          <w:ilvl w:val="0"/>
          <w:numId w:val="3"/>
        </w:numPr>
        <w:spacing w:after="40" w:before="40"/>
      </w:pPr>
      <w:r>
        <w:rPr>
          <w:rFonts w:ascii="Arial" w:cs="Arial" w:eastAsia="Arial" w:hAnsi="Arial"/>
          <w:color w:val="212121"/>
          <w:sz w:val="22"/>
          <w:szCs w:val="22"/>
        </w:rPr>
        <w:t xml:space="preserve">Etapas 2 y 3 — Revisión Documental y Programación: el Comité revisa políticas y evidencias (resultado en máximo 15 días hábiles; faltantes: 15 días para subsanar + prórroga única de 10) y la auditoría se programa en máximo 20 días hábiles.</w:t>
      </w:r>
    </w:p>
    <w:p>
      <w:pPr>
        <w:pStyle w:val="ListParagraph"/>
        <w:numPr>
          <w:ilvl w:val="0"/>
          <w:numId w:val="3"/>
        </w:numPr>
        <w:spacing w:after="40" w:before="40"/>
      </w:pPr>
      <w:r>
        <w:rPr>
          <w:rFonts w:ascii="Arial" w:cs="Arial" w:eastAsia="Arial" w:hAnsi="Arial"/>
          <w:color w:val="212121"/>
          <w:sz w:val="22"/>
          <w:szCs w:val="22"/>
        </w:rPr>
        <w:t xml:space="preserve">Etapa 4 — Auditoría en Sitio: verificación de la implementación real con mediciones instrumentales y entrevistas confidenciales con empleados neurodivergentes. Informe del auditor al Comité en 10 días hábiles.</w:t>
      </w:r>
    </w:p>
    <w:p>
      <w:pPr>
        <w:pStyle w:val="ListParagraph"/>
        <w:numPr>
          <w:ilvl w:val="0"/>
          <w:numId w:val="3"/>
        </w:numPr>
        <w:spacing w:after="40" w:before="40"/>
      </w:pPr>
      <w:r>
        <w:rPr>
          <w:rFonts w:ascii="Arial" w:cs="Arial" w:eastAsia="Arial" w:hAnsi="Arial"/>
          <w:color w:val="212121"/>
          <w:sz w:val="22"/>
          <w:szCs w:val="22"/>
        </w:rPr>
        <w:t xml:space="preserve">Etapa 5 — Dictamen y Certificación o Plan de Mejora: dictamen del Comité en 15 días hábiles y certificado en 5; si no se alcanza el mínimo, plan de mejora con 6 meses para re-auditoría (la primera sin costo). Plazo total máximo del proceso: 80 días hábiles.</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6.9 Actividades del módulo</w:t>
      </w:r>
    </w:p>
    <w:p>
      <w:pPr>
        <w:pStyle w:val="Heading3"/>
        <w:spacing w:after="120" w:before="240"/>
      </w:pPr>
      <w:r>
        <w:rPr>
          <w:rFonts w:ascii="Arial" w:cs="Arial" w:eastAsia="Arial" w:hAnsi="Arial"/>
          <w:b/>
          <w:bCs/>
          <w:color w:val="1565C0"/>
          <w:sz w:val="26"/>
          <w:szCs w:val="26"/>
        </w:rPr>
        <w:t xml:space="preserve">Actividad 6.A — Autoevaluación CENI Laboral</w:t>
      </w:r>
    </w:p>
    <w:p>
      <w:pPr>
        <w:spacing w:after="60" w:before="60"/>
        <w:jc w:val="left"/>
      </w:pPr>
      <w:r>
        <w:rPr>
          <w:rFonts w:ascii="Arial" w:cs="Arial" w:eastAsia="Arial" w:hAnsi="Arial"/>
          <w:b w:val="false"/>
          <w:bCs w:val="false"/>
          <w:i w:val="false"/>
          <w:iCs w:val="false"/>
          <w:color w:val="212121"/>
          <w:sz w:val="22"/>
          <w:szCs w:val="22"/>
        </w:rPr>
        <w:t xml:space="preserve">Usando el instrumento oficial de autoevaluación CENI Laboral (incluido en los materiales del curso), el equipo evalúa su organización en los 30 criterios, asigna puntuación parcial o plena según la evidencia disponible, identifica brechas y establece prioridades de mejora.</w:t>
      </w:r>
    </w:p>
    <w:p>
      <w:pPr>
        <w:pStyle w:val="Heading3"/>
        <w:spacing w:after="120" w:before="240"/>
      </w:pPr>
      <w:r>
        <w:rPr>
          <w:rFonts w:ascii="Arial" w:cs="Arial" w:eastAsia="Arial" w:hAnsi="Arial"/>
          <w:b/>
          <w:bCs/>
          <w:color w:val="1565C0"/>
          <w:sz w:val="26"/>
          <w:szCs w:val="26"/>
        </w:rPr>
        <w:t xml:space="preserve">Actividad 6.B — Plan de Mejora Prioritizado</w:t>
      </w:r>
    </w:p>
    <w:p>
      <w:pPr>
        <w:spacing w:after="60" w:before="60"/>
        <w:jc w:val="left"/>
      </w:pPr>
      <w:r>
        <w:rPr>
          <w:rFonts w:ascii="Arial" w:cs="Arial" w:eastAsia="Arial" w:hAnsi="Arial"/>
          <w:b w:val="false"/>
          <w:bCs w:val="false"/>
          <w:i w:val="false"/>
          <w:iCs w:val="false"/>
          <w:color w:val="212121"/>
          <w:sz w:val="22"/>
          <w:szCs w:val="22"/>
        </w:rPr>
        <w:t xml:space="preserve">Con base en los resultados de la autoevaluación, el equipo elabora un Plan de Mejora con los 5 criterios de mayor brecha, definiendo: acción específica, responsable, presupuesto estimado, fecha compromiso y evidencia de cumplimiento.</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6.10 Evaluación del módulo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r>
              <w:rPr>
                <w:rFonts w:ascii="Arial" w:cs="Arial" w:eastAsia="Arial" w:hAnsi="Arial"/>
                <w:b/>
                <w:bCs/>
                <w:color w:val="FFFFFF"/>
                <w:sz w:val="21"/>
                <w:szCs w:val="21"/>
              </w:rPr>
              <w:t xml:space="preserve">Componente de Evaluación</w:t>
            </w:r>
          </w:p>
        </w:tc>
        <w:tc>
          <w:tcPr>
            <w:tcW w:type="dxa" w:w="180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Tipo</w:t>
            </w:r>
          </w:p>
        </w:tc>
        <w:tc>
          <w:tcPr>
            <w:tcW w:type="dxa" w:w="180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Valor</w:t>
            </w:r>
          </w:p>
        </w:tc>
      </w:tr>
      <w:tr>
        <w:tc>
          <w:tcPr>
            <w:tcW w:type="dxa" w:w="576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r>
              <w:rPr>
                <w:rFonts w:ascii="Arial" w:cs="Arial" w:eastAsia="Arial" w:hAnsi="Arial"/>
                <w:color w:val="212121"/>
                <w:sz w:val="21"/>
                <w:szCs w:val="21"/>
              </w:rPr>
              <w:t xml:space="preserve">Quiz de 15 preguntas sobre dimensiones, criterios y puntuación</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color w:val="616161"/>
                <w:sz w:val="21"/>
                <w:szCs w:val="21"/>
              </w:rPr>
              <w:t xml:space="preserve">Opción múltiple</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25%</w:t>
            </w:r>
          </w:p>
        </w:tc>
      </w:tr>
      <w:tr>
        <w:tc>
          <w:tcPr>
            <w:tcW w:type="dxa" w:w="57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212121"/>
                <w:sz w:val="21"/>
                <w:szCs w:val="21"/>
              </w:rPr>
              <w:t xml:space="preserve">Autoevaluación CENI Laboral (Actividad 6.A) — completitud y precisión</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Arial" w:cs="Arial" w:eastAsia="Arial" w:hAnsi="Arial"/>
                <w:color w:val="616161"/>
                <w:sz w:val="21"/>
                <w:szCs w:val="21"/>
              </w:rPr>
              <w:t xml:space="preserve">Práctica aplicada</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45%</w:t>
            </w:r>
          </w:p>
        </w:tc>
      </w:tr>
      <w:tr>
        <w:tc>
          <w:tcPr>
            <w:tcW w:type="dxa" w:w="576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r>
              <w:rPr>
                <w:rFonts w:ascii="Arial" w:cs="Arial" w:eastAsia="Arial" w:hAnsi="Arial"/>
                <w:color w:val="212121"/>
                <w:sz w:val="21"/>
                <w:szCs w:val="21"/>
              </w:rPr>
              <w:t xml:space="preserve">Plan de Mejora Prioritizado (Actividad 6.B)</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color w:val="616161"/>
                <w:sz w:val="21"/>
                <w:szCs w:val="21"/>
              </w:rPr>
              <w:t xml:space="preserve">Práctica estratégica</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30%</w:t>
            </w:r>
          </w:p>
        </w:tc>
      </w:tr>
    </w:tbl>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B0082" w:val="clear"/>
            <w:tcMar>
              <w:top w:type="dxa" w:w="160"/>
              <w:left w:type="dxa" w:w="240"/>
              <w:bottom w:type="dxa" w:w="60"/>
              <w:right w:type="dxa" w:w="240"/>
            </w:tcMar>
          </w:tcPr>
          <w:p>
            <w:pPr>
              <w:jc w:val="left"/>
            </w:pPr>
            <w:r>
              <w:rPr>
                <w:rFonts w:ascii="Arial" w:cs="Arial" w:eastAsia="Arial" w:hAnsi="Arial"/>
                <w:b/>
                <w:bCs/>
                <w:color w:val="B39DDB"/>
                <w:sz w:val="22"/>
                <w:szCs w:val="22"/>
              </w:rPr>
              <w:t xml:space="preserve">MÓDULO 7</w:t>
            </w:r>
          </w:p>
          <w:p>
            <w:pPr>
              <w:jc w:val="left"/>
            </w:pPr>
            <w:r>
              <w:rPr>
                <w:rFonts w:ascii="Arial" w:cs="Arial" w:eastAsia="Arial" w:hAnsi="Arial"/>
                <w:b/>
                <w:bCs/>
                <w:color w:val="FFFFFF"/>
                <w:sz w:val="36"/>
                <w:szCs w:val="36"/>
              </w:rPr>
              <w:t xml:space="preserve">CENI ESPACIOS — CERTIFICACIÓN DE ESPACIOS FÍSICOS Y VIRTUALES</w:t>
            </w:r>
          </w:p>
        </w:tc>
      </w:tr>
      <w:tr>
        <w:tc>
          <w:tcPr>
            <w:tcBorders>
              <w:top w:val="none" w:color="FFFFFF" w:sz="0"/>
              <w:left w:val="none" w:color="FFFFFF" w:sz="0"/>
              <w:bottom w:val="none" w:color="FFFFFF" w:sz="0"/>
              <w:right w:val="none" w:color="FFFFFF" w:sz="0"/>
            </w:tcBorders>
            <w:shd w:fill="6A0DAD" w:val="clear"/>
            <w:tcMar>
              <w:top w:type="dxa" w:w="80"/>
              <w:left w:type="dxa" w:w="240"/>
              <w:bottom w:type="dxa" w:w="80"/>
              <w:right w:type="dxa" w:w="240"/>
            </w:tcMar>
          </w:tcPr>
          <w:p>
            <w:r>
              <w:rPr>
                <w:rFonts w:ascii="Arial" w:cs="Arial" w:eastAsia="Arial" w:hAnsi="Arial"/>
                <w:color w:val="FFFFFF"/>
                <w:sz w:val="20"/>
                <w:szCs w:val="20"/>
              </w:rPr>
              <w:t xml:space="preserve">Duración: 150 minutos   Dirigido a: Propietarios, gestores de espacios, arquitectos, administradores públicos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95C" w:sz="1"/>
              <w:left w:val="single" w:color="00695C" w:sz="1"/>
              <w:bottom w:val="single" w:color="00695C" w:sz="1"/>
              <w:right w:val="single" w:color="00695C" w:sz="1"/>
            </w:tcBorders>
            <w:shd w:fill="00695C" w:val="clear"/>
            <w:tcMar>
              <w:top w:type="dxa" w:w="80"/>
              <w:left w:type="dxa" w:w="160"/>
              <w:bottom w:type="dxa" w:w="80"/>
              <w:right w:type="dxa" w:w="160"/>
            </w:tcMar>
          </w:tcPr>
          <w:p>
            <w:r>
              <w:rPr>
                <w:rFonts w:ascii="Arial" w:cs="Arial" w:eastAsia="Arial" w:hAnsi="Arial"/>
                <w:b/>
                <w:bCs/>
                <w:color w:val="FFFFFF"/>
                <w:sz w:val="22"/>
                <w:szCs w:val="22"/>
              </w:rPr>
              <w:t xml:space="preserve">OBJETIVOS DEL MÓDULO</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Conocer las seis dimensiones y treinta criterios de CENI Espacios con énfasis en umbrales sensoriales objetivos.</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Distinguir la aplicación de CENI Espacios en contextos educativos, comerciales, de salud y gubernamentales.</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Elaborar el expediente de evidencias para una solicitud de certificación de espacios.</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Diseñar un plan de adecuación física y protocolar para cumplir los criterios de certificación.</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7.1 Sistema de puntuación CENI Espacios</w:t>
      </w:r>
    </w:p>
    <w:p>
      <w:pPr>
        <w:spacing w:after="60" w:before="60"/>
        <w:jc w:val="left"/>
      </w:pPr>
      <w:r>
        <w:rPr>
          <w:rFonts w:ascii="Arial" w:cs="Arial" w:eastAsia="Arial" w:hAnsi="Arial"/>
          <w:b w:val="false"/>
          <w:bCs w:val="false"/>
          <w:i w:val="false"/>
          <w:iCs w:val="false"/>
          <w:color w:val="212121"/>
          <w:sz w:val="22"/>
          <w:szCs w:val="22"/>
        </w:rPr>
        <w:t xml:space="preserve">CENI Espacios, al igual que CENI Laboral, evalúa 30 criterios en 6 dimensiones con un máximo de 1,000 puntos. Los niveles de certificación son idénticos y aplica el mismo mínimo de 40% por dimensión.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360C" w:sz="1"/>
              <w:left w:val="single" w:color="BF360C" w:sz="1"/>
              <w:bottom w:val="single" w:color="BF360C" w:sz="1"/>
              <w:right w:val="single" w:color="BF360C" w:sz="1"/>
            </w:tcBorders>
            <w:shd w:fill="FBE9E7" w:val="clear"/>
            <w:tcMar>
              <w:top w:type="dxa" w:w="100"/>
              <w:left w:type="dxa" w:w="120"/>
              <w:bottom w:type="dxa" w:w="100"/>
              <w:right w:type="dxa" w:w="120"/>
            </w:tcMar>
          </w:tcPr>
          <w:p>
            <w:pPr>
              <w:jc w:val="center"/>
            </w:pPr>
            <w:r>
              <w:rPr>
                <w:rFonts w:ascii="Arial" w:cs="Arial" w:eastAsia="Arial" w:hAnsi="Arial"/>
                <w:b/>
                <w:bCs/>
                <w:color w:val="BF360C"/>
                <w:sz w:val="24"/>
                <w:szCs w:val="24"/>
              </w:rPr>
              <w:t xml:space="preserve">🥉 BRONCE</w:t>
            </w:r>
          </w:p>
          <w:p>
            <w:pPr>
              <w:jc w:val="center"/>
            </w:pPr>
            <w:r>
              <w:rPr>
                <w:rFonts w:ascii="Arial" w:cs="Arial" w:eastAsia="Arial" w:hAnsi="Arial"/>
                <w:color w:val="BF360C"/>
                <w:sz w:val="22"/>
                <w:szCs w:val="22"/>
              </w:rPr>
              <w:t xml:space="preserve">500–649 puntos</w:t>
            </w:r>
          </w:p>
          <w:p>
            <w:pPr>
              <w:jc w:val="center"/>
            </w:pPr>
            <w:r>
              <w:rPr>
                <w:rFonts w:ascii="Arial" w:cs="Arial" w:eastAsia="Arial" w:hAnsi="Arial"/>
                <w:color w:val="616161"/>
                <w:sz w:val="20"/>
                <w:szCs w:val="20"/>
              </w:rPr>
              <w:t xml:space="preserve">Vigencia: 1 año</w:t>
            </w:r>
          </w:p>
        </w:tc>
        <w:tc>
          <w:tcPr>
            <w:tcW w:type="dxa" w:w="3120"/>
            <w:tcBorders>
              <w:top w:val="single" w:color="78909C" w:sz="1"/>
              <w:left w:val="single" w:color="78909C" w:sz="1"/>
              <w:bottom w:val="single" w:color="78909C" w:sz="1"/>
              <w:right w:val="single" w:color="78909C" w:sz="1"/>
            </w:tcBorders>
            <w:shd w:fill="ECEFF1" w:val="clear"/>
            <w:tcMar>
              <w:top w:type="dxa" w:w="100"/>
              <w:left w:type="dxa" w:w="120"/>
              <w:bottom w:type="dxa" w:w="100"/>
              <w:right w:type="dxa" w:w="120"/>
            </w:tcMar>
          </w:tcPr>
          <w:p>
            <w:pPr>
              <w:jc w:val="center"/>
            </w:pPr>
            <w:r>
              <w:rPr>
                <w:rFonts w:ascii="Arial" w:cs="Arial" w:eastAsia="Arial" w:hAnsi="Arial"/>
                <w:b/>
                <w:bCs/>
                <w:color w:val="78909C"/>
                <w:sz w:val="24"/>
                <w:szCs w:val="24"/>
              </w:rPr>
              <w:t xml:space="preserve">🥈 PLATA</w:t>
            </w:r>
          </w:p>
          <w:p>
            <w:pPr>
              <w:jc w:val="center"/>
            </w:pPr>
            <w:r>
              <w:rPr>
                <w:rFonts w:ascii="Arial" w:cs="Arial" w:eastAsia="Arial" w:hAnsi="Arial"/>
                <w:color w:val="78909C"/>
                <w:sz w:val="22"/>
                <w:szCs w:val="22"/>
              </w:rPr>
              <w:t xml:space="preserve">650–799 puntos</w:t>
            </w:r>
          </w:p>
          <w:p>
            <w:pPr>
              <w:jc w:val="center"/>
            </w:pPr>
            <w:r>
              <w:rPr>
                <w:rFonts w:ascii="Arial" w:cs="Arial" w:eastAsia="Arial" w:hAnsi="Arial"/>
                <w:color w:val="616161"/>
                <w:sz w:val="20"/>
                <w:szCs w:val="20"/>
              </w:rPr>
              <w:t xml:space="preserve">Vigencia: 2 años</w:t>
            </w:r>
          </w:p>
        </w:tc>
        <w:tc>
          <w:tcPr>
            <w:tcW w:type="dxa" w:w="3120"/>
            <w:tcBorders>
              <w:top w:val="single" w:color="F9A825" w:sz="1"/>
              <w:left w:val="single" w:color="F9A825" w:sz="1"/>
              <w:bottom w:val="single" w:color="F9A825" w:sz="1"/>
              <w:right w:val="single" w:color="F9A825" w:sz="1"/>
            </w:tcBorders>
            <w:shd w:fill="FFFDE7" w:val="clear"/>
            <w:tcMar>
              <w:top w:type="dxa" w:w="100"/>
              <w:left w:type="dxa" w:w="120"/>
              <w:bottom w:type="dxa" w:w="100"/>
              <w:right w:type="dxa" w:w="120"/>
            </w:tcMar>
          </w:tcPr>
          <w:p>
            <w:pPr>
              <w:jc w:val="center"/>
            </w:pPr>
            <w:r>
              <w:rPr>
                <w:rFonts w:ascii="Arial" w:cs="Arial" w:eastAsia="Arial" w:hAnsi="Arial"/>
                <w:b/>
                <w:bCs/>
                <w:color w:val="E65100"/>
                <w:sz w:val="24"/>
                <w:szCs w:val="24"/>
              </w:rPr>
              <w:t xml:space="preserve">🥇 ORO</w:t>
            </w:r>
          </w:p>
          <w:p>
            <w:pPr>
              <w:jc w:val="center"/>
            </w:pPr>
            <w:r>
              <w:rPr>
                <w:rFonts w:ascii="Arial" w:cs="Arial" w:eastAsia="Arial" w:hAnsi="Arial"/>
                <w:color w:val="E65100"/>
                <w:sz w:val="22"/>
                <w:szCs w:val="22"/>
              </w:rPr>
              <w:t xml:space="preserve">800–1,000 puntos</w:t>
            </w:r>
          </w:p>
          <w:p>
            <w:pPr>
              <w:jc w:val="center"/>
            </w:pPr>
            <w:r>
              <w:rPr>
                <w:rFonts w:ascii="Arial" w:cs="Arial" w:eastAsia="Arial" w:hAnsi="Arial"/>
                <w:color w:val="616161"/>
                <w:sz w:val="20"/>
                <w:szCs w:val="20"/>
              </w:rPr>
              <w:t xml:space="preserve">Vigencia: 3 años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Dimensión 1</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Accesibilidad Sensorial — 250 pts (60+70+30+40+50)</w:t>
            </w:r>
          </w:p>
        </w:tc>
      </w:tr>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Dimensión 2</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Accesibilidad Cognitiva — 150 pts (35+25+40+30+20)</w:t>
            </w:r>
          </w:p>
        </w:tc>
      </w:tr>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Dimensión 3</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Accesibilidad Social y Comunicativa — 200 pts (60+40+40+30+30)</w:t>
            </w:r>
          </w:p>
        </w:tc>
      </w:tr>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Dimensión 4</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Seguridad Emocional e Infraestructura — 200 pts (50+40+25+45+40)</w:t>
            </w:r>
          </w:p>
        </w:tc>
      </w:tr>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Dimensión 5</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Flexibilidad y Opciones — 100 pts (25+20+20+15+20)</w:t>
            </w:r>
          </w:p>
        </w:tc>
      </w:tr>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Dimensión 6</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Gobernanza y Mejora Continua — 100 pts (5 criterios × 20 pts)</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7.2 Dimensión 1 — Accesibilidad Sensorial (250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4B0082" w:sz="1"/>
              <w:left w:val="single" w:color="4B0082" w:sz="1"/>
              <w:bottom w:val="single" w:color="4B0082" w:sz="1"/>
              <w:right w:val="single" w:color="4B0082" w:sz="1"/>
            </w:tcBorders>
            <w:shd w:fill="4B0082" w:val="clear"/>
            <w:tcMar>
              <w:top w:type="dxa" w:w="100"/>
              <w:left w:type="dxa" w:w="160"/>
              <w:bottom w:type="dxa" w:w="100"/>
              <w:right w:type="dxa" w:w="160"/>
            </w:tcMar>
          </w:tcPr>
          <w:p>
            <w:r>
              <w:rPr>
                <w:rFonts w:ascii="Arial" w:cs="Arial" w:eastAsia="Arial" w:hAnsi="Arial"/>
                <w:b/>
                <w:bCs/>
                <w:color w:val="FFFFFF"/>
                <w:sz w:val="24"/>
                <w:szCs w:val="24"/>
              </w:rPr>
              <w:t xml:space="preserve">DIMENSIÓN 1: Accesibilidad Sensorial</w:t>
            </w:r>
          </w:p>
        </w:tc>
        <w:tc>
          <w:tcPr>
            <w:tcW w:type="dxa" w:w="2160"/>
            <w:tcBorders>
              <w:top w:val="single" w:color="4B0082" w:sz="1"/>
              <w:left w:val="single" w:color="4B0082" w:sz="1"/>
              <w:bottom w:val="single" w:color="4B0082" w:sz="1"/>
              <w:right w:val="single" w:color="4B0082" w:sz="1"/>
            </w:tcBorders>
            <w:shd w:fill="4B0082"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250 pts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980"/>
        <w:gridCol w:w="1980"/>
      </w:tblGrid>
      <w:tr>
        <w:tc>
          <w:tcPr>
            <w:tcW w:type="dxa" w:w="6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48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Criterio</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Evidencia requerida</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Pts</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E1-C1</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Iluminación: LED sin parpadeo, ≤500 lux en áreas de servicio, dimmers o zonas diferenciadas, sin luminarias fluorescentes expuestas.</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Mediciones de luxómetro datadas + fotografías del sistema de iluminación</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60</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E1-C2</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Acústica: ≤55 dB en áreas generales, ≤45 dB en zonas silenciosas, materiales absorbentes, música ambiental controlable.</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Mediciones de sonómetro en 3 horarios representativos</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70</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E1-C3</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Control olfativo: sin ambientadores invasivos, ventilación adecuada, política de productos de limpieza de bajo olor.</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Política escrita + verificación en sitio</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30</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E1-C4</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Estímulos visuales: decoración no abrumadora, colores neutros en áreas de servicio, sin pantallas con contenido intermitente, contraste adecuado.</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Fotografías del espacio</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40</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E1-C5</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Espacio de regulación sensorial: ≤35 dB, ≤200 lux, asiento cómodo, señalizado y accesible sin pedir permiso.</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Fotografías + mediciones + política de acceso libre</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50</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7.3 Dimensión 2 — Accesibilidad Cognitiva (150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6A0DAD" w:sz="1"/>
              <w:left w:val="single" w:color="6A0DAD" w:sz="1"/>
              <w:bottom w:val="single" w:color="6A0DAD" w:sz="1"/>
              <w:right w:val="single" w:color="6A0DAD" w:sz="1"/>
            </w:tcBorders>
            <w:shd w:fill="6A0DAD" w:val="clear"/>
            <w:tcMar>
              <w:top w:type="dxa" w:w="100"/>
              <w:left w:type="dxa" w:w="160"/>
              <w:bottom w:type="dxa" w:w="100"/>
              <w:right w:type="dxa" w:w="160"/>
            </w:tcMar>
          </w:tcPr>
          <w:p>
            <w:r>
              <w:rPr>
                <w:rFonts w:ascii="Arial" w:cs="Arial" w:eastAsia="Arial" w:hAnsi="Arial"/>
                <w:b/>
                <w:bCs/>
                <w:color w:val="FFFFFF"/>
                <w:sz w:val="24"/>
                <w:szCs w:val="24"/>
              </w:rPr>
              <w:t xml:space="preserve">DIMENSIÓN 2: Accesibilidad Cognitiva</w:t>
            </w:r>
          </w:p>
        </w:tc>
        <w:tc>
          <w:tcPr>
            <w:tcW w:type="dxa" w:w="2160"/>
            <w:tcBorders>
              <w:top w:val="single" w:color="6A0DAD" w:sz="1"/>
              <w:left w:val="single" w:color="6A0DAD" w:sz="1"/>
              <w:bottom w:val="single" w:color="6A0DAD" w:sz="1"/>
              <w:right w:val="single" w:color="6A0DAD" w:sz="1"/>
            </w:tcBorders>
            <w:shd w:fill="6A0DAD"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150 pts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980"/>
        <w:gridCol w:w="1980"/>
      </w:tblGrid>
      <w:tr>
        <w:tc>
          <w:tcPr>
            <w:tcW w:type="dxa" w:w="6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48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Criterio</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Evidencia requerida</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Pts</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E2-C1</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Señalización clara y consistente: lenguaje simple, pictogramas universales, tipografía sans-serif legible en todo el espacio.</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Fotografías de la señalización</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35</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E2-C2</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Mapas y orientación: mapa físico en la entrada y digital en el sitio web, indicadores de ubicación, numeración lógica de espacios.</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Fotografía del mapa + URL o QR del formato digital</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25</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E2-C3</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Consentimiento informado ambiental: información sensorial del espacio disponible antes de la visita (fotos, videos, niveles de ruido e iluminación) en sitio web o app.</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Sección pre-visita publicada en sitio web o app</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40</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E2-C4</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Procedimientos predecibles: secuencia de servicio visible paso a paso, tiempos estimados comunicados, anticipación de cambios.</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Fotografías + protocolo de servicio</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30</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E2-C5</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Eliminación de ambigüedades: instrucciones explícitas, información sin sobrecarga textual.</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Muestra de documentos e instrucciones al público</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20</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7.4 Dimensión 3 — Accesibilidad Social y Comunicativa (200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0695C" w:sz="1"/>
              <w:left w:val="single" w:color="00695C" w:sz="1"/>
              <w:bottom w:val="single" w:color="00695C" w:sz="1"/>
              <w:right w:val="single" w:color="00695C" w:sz="1"/>
            </w:tcBorders>
            <w:shd w:fill="00695C" w:val="clear"/>
            <w:tcMar>
              <w:top w:type="dxa" w:w="100"/>
              <w:left w:type="dxa" w:w="160"/>
              <w:bottom w:type="dxa" w:w="100"/>
              <w:right w:type="dxa" w:w="160"/>
            </w:tcMar>
          </w:tcPr>
          <w:p>
            <w:r>
              <w:rPr>
                <w:rFonts w:ascii="Arial" w:cs="Arial" w:eastAsia="Arial" w:hAnsi="Arial"/>
                <w:b/>
                <w:bCs/>
                <w:color w:val="FFFFFF"/>
                <w:sz w:val="24"/>
                <w:szCs w:val="24"/>
              </w:rPr>
              <w:t xml:space="preserve">DIMENSIÓN 3: Accesibilidad Social y Comunicativa</w:t>
            </w:r>
          </w:p>
        </w:tc>
        <w:tc>
          <w:tcPr>
            <w:tcW w:type="dxa" w:w="2160"/>
            <w:tcBorders>
              <w:top w:val="single" w:color="00695C" w:sz="1"/>
              <w:left w:val="single" w:color="00695C" w:sz="1"/>
              <w:bottom w:val="single" w:color="00695C" w:sz="1"/>
              <w:right w:val="single" w:color="00695C" w:sz="1"/>
            </w:tcBorders>
            <w:shd w:fill="00695C"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200 pts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980"/>
        <w:gridCol w:w="1980"/>
      </w:tblGrid>
      <w:tr>
        <w:tc>
          <w:tcPr>
            <w:tcW w:type="dxa" w:w="6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48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Criterio</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Evidencia requerida</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Pts</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E3-C1</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Capacitación del personal en comunicación neuroafirmativa: módulos completados, evaluación aprobada, actualización anual.</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Constancias de capacitación vigentes con fecha y horas</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60</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E3-C2</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Opciones de comunicación alternativa: tarjetas de señas, comunicación escrita, app de apoyo, respeto a la comunicación no verbal.</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Fotografía del material SAAC + protocolo de uso</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40</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E3-C3</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Protocolo de atención neurosensible documentado y evaluado mediante mystery client neurodivergente.</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Protocolo escrito + informe de mystery client</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40</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E3-C4</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Respeto a tiempos de procesamiento: sin presión por rapidez, paciencia activa, opciones de autoservicio disponibles.</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Protocolo + evaluación de mystery client</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30</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E3-C5</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Eliminación de coerción social: no se exige contacto visual, sonrisa ni conversación casual como condición de servicio.</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Protocolo de atención + entrevistas al personal</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30</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7.5 Dimensión 4 — Seguridad Emocional e Infraestructura (200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E65100" w:sz="1"/>
              <w:left w:val="single" w:color="E65100" w:sz="1"/>
              <w:bottom w:val="single" w:color="E65100" w:sz="1"/>
              <w:right w:val="single" w:color="E65100" w:sz="1"/>
            </w:tcBorders>
            <w:shd w:fill="E65100" w:val="clear"/>
            <w:tcMar>
              <w:top w:type="dxa" w:w="100"/>
              <w:left w:type="dxa" w:w="160"/>
              <w:bottom w:type="dxa" w:w="100"/>
              <w:right w:type="dxa" w:w="160"/>
            </w:tcMar>
          </w:tcPr>
          <w:p>
            <w:r>
              <w:rPr>
                <w:rFonts w:ascii="Arial" w:cs="Arial" w:eastAsia="Arial" w:hAnsi="Arial"/>
                <w:b/>
                <w:bCs/>
                <w:color w:val="FFFFFF"/>
                <w:sz w:val="24"/>
                <w:szCs w:val="24"/>
              </w:rPr>
              <w:t xml:space="preserve">DIMENSIÓN 4: Seguridad Emocional e Infraestructura</w:t>
            </w:r>
          </w:p>
        </w:tc>
        <w:tc>
          <w:tcPr>
            <w:tcW w:type="dxa" w:w="2160"/>
            <w:tcBorders>
              <w:top w:val="single" w:color="E65100" w:sz="1"/>
              <w:left w:val="single" w:color="E65100" w:sz="1"/>
              <w:bottom w:val="single" w:color="E65100" w:sz="1"/>
              <w:right w:val="single" w:color="E65100" w:sz="1"/>
            </w:tcBorders>
            <w:shd w:fill="E65100"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200 pts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980"/>
        <w:gridCol w:w="1980"/>
      </w:tblGrid>
      <w:tr>
        <w:tc>
          <w:tcPr>
            <w:tcW w:type="dxa" w:w="6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48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Criterio</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Evidencia requerida</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Pts</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E4-C1</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Espacio de descompresión accesible, privado, sin límite de tiempo, comunicado al personal y al público.</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Fotografías + señalización + política de acceso</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50</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E4-C2</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Protocolo de crisis sensoriales/emocionales: respuesta no punitiva ante meltdown/shutdown y acceso inmediato al espacio de calma.</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Protocolo escrito + constancias de capacitación</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40</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E4-C3</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Políticas de no interrupción donde aplique (consultorios, salas de espera).</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Política documentada</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25</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E4-C4</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Mobiliario ergonómico y flexible: asientos variados, texturas no irritantes, distribución predecible, señalización de zonas de riesgo sensorial.</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Fotografías + plano del espacio</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45</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E4-C5</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Política de mascotas de servicio y apoyo emocional: aceptación documentada y comunicada.</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Política publicada + señalización</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40</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7.6 Dimensión 5 — Flexibilidad y Opciones (100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tcPr>
          <w:p>
            <w:r>
              <w:rPr>
                <w:rFonts w:ascii="Arial" w:cs="Arial" w:eastAsia="Arial" w:hAnsi="Arial"/>
                <w:b/>
                <w:bCs/>
                <w:color w:val="FFFFFF"/>
                <w:sz w:val="24"/>
                <w:szCs w:val="24"/>
              </w:rPr>
              <w:t xml:space="preserve">DIMENSIÓN 5: Flexibilidad y Opciones</w:t>
            </w:r>
          </w:p>
        </w:tc>
        <w:tc>
          <w:tcPr>
            <w:tcW w:type="dxa" w:w="216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100 pts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980"/>
        <w:gridCol w:w="1980"/>
      </w:tblGrid>
      <w:tr>
        <w:tc>
          <w:tcPr>
            <w:tcW w:type="dxa" w:w="6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48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Criterio</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Evidencia requerida</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Pts</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E5-C1</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Horarios de baja estimulación: al menos una franja semanal con luz reducida, música apagada y afluencia controlada.</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Horario publicado + evidencia de implementación</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25</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E5-C2</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Opciones de servicio alternativas: pedidos anticipados, reservaciones con preferencias sensoriales, opciones remotas.</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Evidencia del sistema alternativo</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20</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E5-C3</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Adaptación de productos/servicios: menús con fotos, opciones de textura, información clara de alérgenos.</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Muestras de materiales adaptados</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20</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E5-C4</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Acompañamiento disponible sin costo extra ni condicionamiento.</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Protocolo de acompañamiento</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15</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E5-C5</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Preparación pre-visita completa: recorrido virtual, historia social del espacio, guía de qué esperar.</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Materiales pre-visita publicados</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20</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7.7 Dimensión 6 — Gobernanza y Mejora Continua (100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4B0082" w:sz="1"/>
              <w:left w:val="single" w:color="4B0082" w:sz="1"/>
              <w:bottom w:val="single" w:color="4B0082" w:sz="1"/>
              <w:right w:val="single" w:color="4B0082" w:sz="1"/>
            </w:tcBorders>
            <w:shd w:fill="4B0082" w:val="clear"/>
            <w:tcMar>
              <w:top w:type="dxa" w:w="100"/>
              <w:left w:type="dxa" w:w="160"/>
              <w:bottom w:type="dxa" w:w="100"/>
              <w:right w:type="dxa" w:w="160"/>
            </w:tcMar>
          </w:tcPr>
          <w:p>
            <w:r>
              <w:rPr>
                <w:rFonts w:ascii="Arial" w:cs="Arial" w:eastAsia="Arial" w:hAnsi="Arial"/>
                <w:b/>
                <w:bCs/>
                <w:color w:val="FFFFFF"/>
                <w:sz w:val="24"/>
                <w:szCs w:val="24"/>
              </w:rPr>
              <w:t xml:space="preserve">DIMENSIÓN 6: Gobernanza y Mejora Continua</w:t>
            </w:r>
          </w:p>
        </w:tc>
        <w:tc>
          <w:tcPr>
            <w:tcW w:type="dxa" w:w="2160"/>
            <w:tcBorders>
              <w:top w:val="single" w:color="4B0082" w:sz="1"/>
              <w:left w:val="single" w:color="4B0082" w:sz="1"/>
              <w:bottom w:val="single" w:color="4B0082" w:sz="1"/>
              <w:right w:val="single" w:color="4B0082" w:sz="1"/>
            </w:tcBorders>
            <w:shd w:fill="4B0082"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100 pts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980"/>
        <w:gridCol w:w="1980"/>
      </w:tblGrid>
      <w:tr>
        <w:tc>
          <w:tcPr>
            <w:tcW w:type="dxa" w:w="6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48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Criterio</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Evidencia requerida</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Pts</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E6-C1</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Manual interno de operación neuroinclusiva documentado y accesible a todo el personal.</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MONE aprobado con fecha y firma</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20</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E6-C2</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Responsable designado de neuroinclusión con funciones y autoridad definidas.</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Nombramiento formal + descripción de la función</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20</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E6-C3</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Canal de retroalimentación accesible operado con participación de personas neurodivergentes.</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Canal activo + registro de reportes y respuestas</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20</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E6-C4</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Auditorías internas periódicas (mínimo semestrales) con registro documentado de hallazgos y acciones.</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Registros de las últimas dos auditorías internas</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20</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E6-C5</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Plan de mejora con metas, plazos y evidencia de avance; personas neurodivergentes involucradas en su diseño.</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PMC vigente + registros de participación</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20</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7.8 Actividades del módulo 7</w:t>
      </w:r>
    </w:p>
    <w:p>
      <w:pPr>
        <w:pStyle w:val="Heading3"/>
        <w:spacing w:after="120" w:before="240"/>
      </w:pPr>
      <w:r>
        <w:rPr>
          <w:rFonts w:ascii="Arial" w:cs="Arial" w:eastAsia="Arial" w:hAnsi="Arial"/>
          <w:b/>
          <w:bCs/>
          <w:color w:val="1565C0"/>
          <w:sz w:val="26"/>
          <w:szCs w:val="26"/>
        </w:rPr>
        <w:t xml:space="preserve">Actividad 7.A — Autoevaluación CENI Espacios</w:t>
      </w:r>
    </w:p>
    <w:p>
      <w:pPr>
        <w:spacing w:after="60" w:before="60"/>
        <w:jc w:val="left"/>
      </w:pPr>
      <w:r>
        <w:rPr>
          <w:rFonts w:ascii="Arial" w:cs="Arial" w:eastAsia="Arial" w:hAnsi="Arial"/>
          <w:b w:val="false"/>
          <w:bCs w:val="false"/>
          <w:i w:val="false"/>
          <w:iCs w:val="false"/>
          <w:color w:val="212121"/>
          <w:sz w:val="22"/>
          <w:szCs w:val="22"/>
        </w:rPr>
        <w:t xml:space="preserve">Usando el instrumento oficial de autoevaluación CENI Espacios, el equipo evalúa el espacio en los 30 criterios con evidencia real disponible. Se calcula la puntuación por dimensión y total, y se identifica la brecha hacia el nivel de certificación objetivo.</w:t>
      </w:r>
    </w:p>
    <w:p>
      <w:pPr>
        <w:pStyle w:val="Heading3"/>
        <w:spacing w:after="120" w:before="240"/>
      </w:pPr>
      <w:r>
        <w:rPr>
          <w:rFonts w:ascii="Arial" w:cs="Arial" w:eastAsia="Arial" w:hAnsi="Arial"/>
          <w:b/>
          <w:bCs/>
          <w:color w:val="1565C0"/>
          <w:sz w:val="26"/>
          <w:szCs w:val="26"/>
        </w:rPr>
        <w:t xml:space="preserve">Actividad 7.B — Planificación de horario de baja estimulación</w:t>
      </w:r>
    </w:p>
    <w:p>
      <w:pPr>
        <w:spacing w:after="60" w:before="60"/>
        <w:jc w:val="left"/>
      </w:pPr>
      <w:r>
        <w:rPr>
          <w:rFonts w:ascii="Arial" w:cs="Arial" w:eastAsia="Arial" w:hAnsi="Arial"/>
          <w:b w:val="false"/>
          <w:bCs w:val="false"/>
          <w:i w:val="false"/>
          <w:iCs w:val="false"/>
          <w:color w:val="212121"/>
          <w:sz w:val="22"/>
          <w:szCs w:val="22"/>
        </w:rPr>
        <w:t xml:space="preserve">El equipo diseña un horario de baja estimulación para su espacio: horarios, qué estímulos se reducen, cómo se comunica al público, quién es responsable de implementarlo. Se presenta en plenaria.</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7.9 Evaluación del módulo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r>
              <w:rPr>
                <w:rFonts w:ascii="Arial" w:cs="Arial" w:eastAsia="Arial" w:hAnsi="Arial"/>
                <w:b/>
                <w:bCs/>
                <w:color w:val="FFFFFF"/>
                <w:sz w:val="21"/>
                <w:szCs w:val="21"/>
              </w:rPr>
              <w:t xml:space="preserve">Componente de Evaluación</w:t>
            </w:r>
          </w:p>
        </w:tc>
        <w:tc>
          <w:tcPr>
            <w:tcW w:type="dxa" w:w="180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Tipo</w:t>
            </w:r>
          </w:p>
        </w:tc>
        <w:tc>
          <w:tcPr>
            <w:tcW w:type="dxa" w:w="180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Valor</w:t>
            </w:r>
          </w:p>
        </w:tc>
      </w:tr>
      <w:tr>
        <w:tc>
          <w:tcPr>
            <w:tcW w:type="dxa" w:w="576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r>
              <w:rPr>
                <w:rFonts w:ascii="Arial" w:cs="Arial" w:eastAsia="Arial" w:hAnsi="Arial"/>
                <w:color w:val="212121"/>
                <w:sz w:val="21"/>
                <w:szCs w:val="21"/>
              </w:rPr>
              <w:t xml:space="preserve">Quiz de 15 preguntas sobre dimensiones y umbrales CENI Espacios</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color w:val="616161"/>
                <w:sz w:val="21"/>
                <w:szCs w:val="21"/>
              </w:rPr>
              <w:t xml:space="preserve">Opción múltiple</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25%</w:t>
            </w:r>
          </w:p>
        </w:tc>
      </w:tr>
      <w:tr>
        <w:tc>
          <w:tcPr>
            <w:tcW w:type="dxa" w:w="57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212121"/>
                <w:sz w:val="21"/>
                <w:szCs w:val="21"/>
              </w:rPr>
              <w:t xml:space="preserve">Autoevaluación CENI Espacios completada (Actividad 7.A)</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Arial" w:cs="Arial" w:eastAsia="Arial" w:hAnsi="Arial"/>
                <w:color w:val="616161"/>
                <w:sz w:val="21"/>
                <w:szCs w:val="21"/>
              </w:rPr>
              <w:t xml:space="preserve">Práctica aplicada</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50%</w:t>
            </w:r>
          </w:p>
        </w:tc>
      </w:tr>
      <w:tr>
        <w:tc>
          <w:tcPr>
            <w:tcW w:type="dxa" w:w="576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r>
              <w:rPr>
                <w:rFonts w:ascii="Arial" w:cs="Arial" w:eastAsia="Arial" w:hAnsi="Arial"/>
                <w:color w:val="212121"/>
                <w:sz w:val="21"/>
                <w:szCs w:val="21"/>
              </w:rPr>
              <w:t xml:space="preserve">Planificación horario de baja estimulación (Actividad 7.B)</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color w:val="616161"/>
                <w:sz w:val="21"/>
                <w:szCs w:val="21"/>
              </w:rPr>
              <w:t xml:space="preserve">Práctica estratégica</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25%</w:t>
            </w:r>
          </w:p>
        </w:tc>
      </w:tr>
    </w:tbl>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B0082" w:val="clear"/>
            <w:tcMar>
              <w:top w:type="dxa" w:w="160"/>
              <w:left w:type="dxa" w:w="240"/>
              <w:bottom w:type="dxa" w:w="60"/>
              <w:right w:type="dxa" w:w="240"/>
            </w:tcMar>
          </w:tcPr>
          <w:p>
            <w:pPr>
              <w:jc w:val="left"/>
            </w:pPr>
            <w:r>
              <w:rPr>
                <w:rFonts w:ascii="Arial" w:cs="Arial" w:eastAsia="Arial" w:hAnsi="Arial"/>
                <w:b/>
                <w:bCs/>
                <w:color w:val="B39DDB"/>
                <w:sz w:val="22"/>
                <w:szCs w:val="22"/>
              </w:rPr>
              <w:t xml:space="preserve">MÓDULO 8</w:t>
            </w:r>
          </w:p>
          <w:p>
            <w:pPr>
              <w:jc w:val="left"/>
            </w:pPr>
            <w:r>
              <w:rPr>
                <w:rFonts w:ascii="Arial" w:cs="Arial" w:eastAsia="Arial" w:hAnsi="Arial"/>
                <w:b/>
                <w:bCs/>
                <w:color w:val="FFFFFF"/>
                <w:sz w:val="36"/>
                <w:szCs w:val="36"/>
              </w:rPr>
              <w:t xml:space="preserve">GOBERNANZA, MEJORA CONTINUA Y SUPERVISIÓN</w:t>
            </w:r>
          </w:p>
        </w:tc>
      </w:tr>
      <w:tr>
        <w:tc>
          <w:tcPr>
            <w:tcBorders>
              <w:top w:val="none" w:color="FFFFFF" w:sz="0"/>
              <w:left w:val="none" w:color="FFFFFF" w:sz="0"/>
              <w:bottom w:val="none" w:color="FFFFFF" w:sz="0"/>
              <w:right w:val="none" w:color="FFFFFF" w:sz="0"/>
            </w:tcBorders>
            <w:shd w:fill="6A0DAD" w:val="clear"/>
            <w:tcMar>
              <w:top w:type="dxa" w:w="80"/>
              <w:left w:type="dxa" w:w="240"/>
              <w:bottom w:type="dxa" w:w="80"/>
              <w:right w:type="dxa" w:w="240"/>
            </w:tcMar>
          </w:tcPr>
          <w:p>
            <w:r>
              <w:rPr>
                <w:rFonts w:ascii="Arial" w:cs="Arial" w:eastAsia="Arial" w:hAnsi="Arial"/>
                <w:color w:val="FFFFFF"/>
                <w:sz w:val="20"/>
                <w:szCs w:val="20"/>
              </w:rPr>
              <w:t xml:space="preserve">Duración: 90 minutos   Dirigido a: Directivos, Responsable de Neuroinclusión, RRHH</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95C" w:sz="1"/>
              <w:left w:val="single" w:color="00695C" w:sz="1"/>
              <w:bottom w:val="single" w:color="00695C" w:sz="1"/>
              <w:right w:val="single" w:color="00695C" w:sz="1"/>
            </w:tcBorders>
            <w:shd w:fill="00695C" w:val="clear"/>
            <w:tcMar>
              <w:top w:type="dxa" w:w="80"/>
              <w:left w:type="dxa" w:w="160"/>
              <w:bottom w:type="dxa" w:w="80"/>
              <w:right w:type="dxa" w:w="160"/>
            </w:tcMar>
          </w:tcPr>
          <w:p>
            <w:r>
              <w:rPr>
                <w:rFonts w:ascii="Arial" w:cs="Arial" w:eastAsia="Arial" w:hAnsi="Arial"/>
                <w:b/>
                <w:bCs/>
                <w:color w:val="FFFFFF"/>
                <w:sz w:val="22"/>
                <w:szCs w:val="22"/>
              </w:rPr>
              <w:t xml:space="preserve">OBJETIVOS DEL MÓDULO</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Diseñar e implementar un Manual Interno de Neuroinclusión operativo y verificable.</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Establecer el rol del Responsable de Neuroinclusión con funciones, autoridad y recursos claros.</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Planificar y ejecutar auditorías internas de manera sistemática y objetiva.</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Implementar el sistema de mystery client neurodivergente como herramienta de evaluación.</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Diseñar un sistema de retroalimentación accesible y un Plan de Mejora Continua operativo.</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8.1 El Reglamento Interno de Neuroinclusión (RIN)</w:t>
      </w:r>
    </w:p>
    <w:p>
      <w:pPr>
        <w:spacing w:after="60" w:before="60"/>
        <w:jc w:val="left"/>
      </w:pPr>
      <w:r>
        <w:rPr>
          <w:rFonts w:ascii="Arial" w:cs="Arial" w:eastAsia="Arial" w:hAnsi="Arial"/>
          <w:b w:val="false"/>
          <w:bCs w:val="false"/>
          <w:i w:val="false"/>
          <w:iCs w:val="false"/>
          <w:color w:val="212121"/>
          <w:sz w:val="22"/>
          <w:szCs w:val="22"/>
        </w:rPr>
        <w:t xml:space="preserve">El RIN es el documento normativo que establece los derechos, obligaciones, protocolos y sanciones aplicables en materia de neuroinclusión dentro de la organización. No es un anexo decorativo al reglamento general: es un documento independiente, aprobado por la dirección y con mecanismos propios de aplicación.</w:t>
      </w:r>
    </w:p>
    <w:p>
      <w:pPr>
        <w:spacing w:after="60" w:before="60"/>
        <w:jc w:val="left"/>
      </w:pPr>
      <w:r>
        <w:rPr>
          <w:rFonts w:ascii="Arial" w:cs="Arial" w:eastAsia="Arial" w:hAnsi="Arial"/>
          <w:b w:val="false"/>
          <w:bCs w:val="false"/>
          <w:i w:val="false"/>
          <w:iCs w:val="false"/>
          <w:color w:val="212121"/>
          <w:sz w:val="22"/>
          <w:szCs w:val="22"/>
        </w:rPr>
        <w:t xml:space="preserve">El RIN debe contener como mínimo:</w:t>
      </w:r>
    </w:p>
    <w:p>
      <w:pPr>
        <w:pStyle w:val="ListParagraph"/>
        <w:numPr>
          <w:ilvl w:val="0"/>
          <w:numId w:val="3"/>
        </w:numPr>
        <w:spacing w:after="40" w:before="40"/>
      </w:pPr>
      <w:r>
        <w:rPr>
          <w:rFonts w:ascii="Arial" w:cs="Arial" w:eastAsia="Arial" w:hAnsi="Arial"/>
          <w:color w:val="212121"/>
          <w:sz w:val="22"/>
          <w:szCs w:val="22"/>
        </w:rPr>
        <w:t xml:space="preserve">Declaración de principios neuroafirmativos de la organización.</w:t>
      </w:r>
    </w:p>
    <w:p>
      <w:pPr>
        <w:pStyle w:val="ListParagraph"/>
        <w:numPr>
          <w:ilvl w:val="0"/>
          <w:numId w:val="3"/>
        </w:numPr>
        <w:spacing w:after="40" w:before="40"/>
      </w:pPr>
      <w:r>
        <w:rPr>
          <w:rFonts w:ascii="Arial" w:cs="Arial" w:eastAsia="Arial" w:hAnsi="Arial"/>
          <w:color w:val="212121"/>
          <w:sz w:val="22"/>
          <w:szCs w:val="22"/>
        </w:rPr>
        <w:t xml:space="preserve">Definición de los términos operativos clave (neurodivergencia, ajuste razonable, masking, stimming, meltdown, etc.).</w:t>
      </w:r>
    </w:p>
    <w:p>
      <w:pPr>
        <w:pStyle w:val="ListParagraph"/>
        <w:numPr>
          <w:ilvl w:val="0"/>
          <w:numId w:val="3"/>
        </w:numPr>
        <w:spacing w:after="40" w:before="40"/>
      </w:pPr>
      <w:r>
        <w:rPr>
          <w:rFonts w:ascii="Arial" w:cs="Arial" w:eastAsia="Arial" w:hAnsi="Arial"/>
          <w:color w:val="212121"/>
          <w:sz w:val="22"/>
          <w:szCs w:val="22"/>
        </w:rPr>
        <w:t xml:space="preserve">Catálogo de derechos de las personas neurodivergentes en la organización.</w:t>
      </w:r>
    </w:p>
    <w:p>
      <w:pPr>
        <w:pStyle w:val="ListParagraph"/>
        <w:numPr>
          <w:ilvl w:val="0"/>
          <w:numId w:val="3"/>
        </w:numPr>
        <w:spacing w:after="40" w:before="40"/>
      </w:pPr>
      <w:r>
        <w:rPr>
          <w:rFonts w:ascii="Arial" w:cs="Arial" w:eastAsia="Arial" w:hAnsi="Arial"/>
          <w:color w:val="212121"/>
          <w:sz w:val="22"/>
          <w:szCs w:val="22"/>
        </w:rPr>
        <w:t xml:space="preserve">Obligaciones de todos los miembros del equipo en relación con la neuroinclusión.</w:t>
      </w:r>
    </w:p>
    <w:p>
      <w:pPr>
        <w:pStyle w:val="ListParagraph"/>
        <w:numPr>
          <w:ilvl w:val="0"/>
          <w:numId w:val="3"/>
        </w:numPr>
        <w:spacing w:after="40" w:before="40"/>
      </w:pPr>
      <w:r>
        <w:rPr>
          <w:rFonts w:ascii="Arial" w:cs="Arial" w:eastAsia="Arial" w:hAnsi="Arial"/>
          <w:color w:val="212121"/>
          <w:sz w:val="22"/>
          <w:szCs w:val="22"/>
        </w:rPr>
        <w:t xml:space="preserve">Protocolos específicos: manejo de crisis sensoriales, comunicación accesible, ajustes razonables, selección neuroinclusiva.</w:t>
      </w:r>
    </w:p>
    <w:p>
      <w:pPr>
        <w:pStyle w:val="ListParagraph"/>
        <w:numPr>
          <w:ilvl w:val="0"/>
          <w:numId w:val="3"/>
        </w:numPr>
        <w:spacing w:after="40" w:before="40"/>
      </w:pPr>
      <w:r>
        <w:rPr>
          <w:rFonts w:ascii="Arial" w:cs="Arial" w:eastAsia="Arial" w:hAnsi="Arial"/>
          <w:color w:val="212121"/>
          <w:sz w:val="22"/>
          <w:szCs w:val="22"/>
        </w:rPr>
        <w:t xml:space="preserve">Canal de queja y denuncia por vulneración de derechos neurodivergentes, con protección anti-represalia.</w:t>
      </w:r>
    </w:p>
    <w:p>
      <w:pPr>
        <w:pStyle w:val="ListParagraph"/>
        <w:numPr>
          <w:ilvl w:val="0"/>
          <w:numId w:val="3"/>
        </w:numPr>
        <w:spacing w:after="40" w:before="40"/>
      </w:pPr>
      <w:r>
        <w:rPr>
          <w:rFonts w:ascii="Arial" w:cs="Arial" w:eastAsia="Arial" w:hAnsi="Arial"/>
          <w:color w:val="212121"/>
          <w:sz w:val="22"/>
          <w:szCs w:val="22"/>
        </w:rPr>
        <w:t xml:space="preserve">Sanciones proporcionales por incumplimiento, aplicadas por el Responsable de Neuroinclusión.</w:t>
      </w:r>
    </w:p>
    <w:p>
      <w:pPr>
        <w:pStyle w:val="ListParagraph"/>
        <w:numPr>
          <w:ilvl w:val="0"/>
          <w:numId w:val="3"/>
        </w:numPr>
        <w:spacing w:after="40" w:before="40"/>
      </w:pPr>
      <w:r>
        <w:rPr>
          <w:rFonts w:ascii="Arial" w:cs="Arial" w:eastAsia="Arial" w:hAnsi="Arial"/>
          <w:color w:val="212121"/>
          <w:sz w:val="22"/>
          <w:szCs w:val="22"/>
        </w:rPr>
        <w:t xml:space="preserve">Proceso de revisión y actualización anual del RIN.</w:t>
      </w:r>
    </w:p>
    <w:tbl>
      <w:tblPr>
        <w:tblW w:type="dxa" w:w="9360"/>
        <w:tblBorders>
          <w:top w:val="single" w:color="D1C4E9" w:sz="4"/>
          <w:left w:val="single" w:color="D1C4E9" w:sz="4"/>
          <w:bottom w:val="single" w:color="D1C4E9" w:sz="4"/>
          <w:right w:val="single" w:color="D1C4E9" w:sz="4"/>
          <w:insideH w:val="single" w:color="D1C4E9" w:sz="4"/>
          <w:insideV w:val="single" w:color="D1C4E9" w:sz="4"/>
        </w:tblBorders>
      </w:tblPr>
      <w:tblGrid>
        <w:gridCol w:w="9360"/>
      </w:tblGrid>
      <w:tr>
        <w:tc>
          <w:tcPr>
            <w:tcW w:type="dxa" w:w="9360"/>
            <w:shd w:fill="EDE7F6" w:val="clear"/>
            <w:tcMar>
              <w:top w:type="dxa" w:w="80"/>
              <w:left w:type="dxa" w:w="120"/>
              <w:bottom w:type="dxa" w:w="80"/>
              <w:right w:type="dxa" w:w="120"/>
            </w:tcMar>
          </w:tcPr>
          <w:p>
            <w:pPr>
              <w:spacing w:after="40" w:before="40"/>
            </w:pPr>
            <w:r>
              <w:rPr>
                <w:rFonts w:ascii="Arial" w:cs="Arial" w:eastAsia="Arial" w:hAnsi="Arial"/>
                <w:b/>
                <w:bCs/>
                <w:color w:val="4B0082"/>
                <w:sz w:val="22"/>
                <w:szCs w:val="22"/>
              </w:rPr>
              <w:t xml:space="preserve">El RIN y la NOM-035 (ver Módulo 5.5–5.12)</w:t>
            </w:r>
          </w:p>
          <w:p>
            <w:pPr>
              <w:spacing w:after="40" w:before="40"/>
            </w:pPr>
            <w:r>
              <w:rPr>
                <w:rFonts w:ascii="Arial" w:cs="Arial" w:eastAsia="Arial" w:hAnsi="Arial"/>
                <w:color w:val="212121"/>
                <w:sz w:val="22"/>
                <w:szCs w:val="22"/>
              </w:rPr>
              <w:t xml:space="preserve">El RIN puede cumplir a la vez la política de prevención de riesgos psicosociales que exige la NOM-035 (numeral 5.1) si incluye explícitamente la prevención de los factores de riesgo psicosocial, la prevención de la violencia laboral y la promoción del entorno organizacional favorable. Su canal de queja y denuncia con protección anti-represalia es el mismo mecanismo seguro y confidencial de recepción de quejas que pide el numeral 8.1 de la norma. No dupliques documentos.</w:t>
            </w:r>
          </w:p>
        </w:tc>
      </w:tr>
    </w:tbl>
    <w:p>
      <w:pPr>
        <w:spacing w:after="0" w:before="0"/>
      </w:pPr>
    </w:p>
    <w:p>
      <w:pPr>
        <w:spacing w:after="120" w:before="0"/>
      </w:pPr>
      <w:r>
        <w:t xml:space="preserve"/>
      </w:r>
    </w:p>
    <w:p>
      <w:pPr>
        <w:pStyle w:val="Heading2"/>
        <w:spacing w:after="180" w:before="360"/>
      </w:pPr>
      <w:r>
        <w:rPr>
          <w:rFonts w:ascii="Arial" w:cs="Arial" w:eastAsia="Arial" w:hAnsi="Arial"/>
          <w:b/>
          <w:bCs/>
          <w:color w:val="6A0DAD"/>
          <w:sz w:val="32"/>
          <w:szCs w:val="32"/>
        </w:rPr>
        <w:t xml:space="preserve">8.2 El Responsable de Neuroinclusión</w:t>
      </w:r>
    </w:p>
    <w:p>
      <w:pPr>
        <w:spacing w:after="60" w:before="60"/>
        <w:jc w:val="left"/>
      </w:pPr>
      <w:r>
        <w:rPr>
          <w:rFonts w:ascii="Arial" w:cs="Arial" w:eastAsia="Arial" w:hAnsi="Arial"/>
          <w:b w:val="false"/>
          <w:bCs w:val="false"/>
          <w:i w:val="false"/>
          <w:iCs w:val="false"/>
          <w:color w:val="212121"/>
          <w:sz w:val="22"/>
          <w:szCs w:val="22"/>
        </w:rPr>
        <w:t xml:space="preserve">El Responsable de Neuroinclusión (RN) es la figura institucional que garantiza la operación efectiva del sistema de neuroinclusión de la organización. No es un cargo honorario: requiere tiempo, recursos, autoridad y capacitación específica.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Perfil requerido</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Persona con curso CENI completo (16 horas mínimo) + actualización anual. Preferentemente neurodivergente o con experiencia directa en el tema. No puede ser simultáneamente responsable de procesos disciplinarios.</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Autoridad mínima</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Capacidad de suspender prácticas que vulneren derechos neurodivergentes. Acceso directo a la dirección. Participación obligatoria en procesos de selección y evaluación de desempeño.</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Tiempo asignado</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Mínimo 10% de jornada laboral para organizaciones de 1–20 personas. Mínimo 30% para 21–100 personas. Tiempo completo (o cargo dedicado) para más de 100 personas.</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Presupuesto</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Presupuesto propio para recursos sensoriales, capacitación, auditorías y adecuaciones. Mínimo $5,000 MXN anuales para micro y pequeñas empresas. Proporcional al tamaño.</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Rendición de cuentas</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Informe semestral a la dirección. Publicación interna de avances del Plan de Mejora. Participación en auditoría externa CENI.</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8.3 Auditorías internas de cumplimiento CENI</w:t>
      </w:r>
    </w:p>
    <w:p>
      <w:pPr>
        <w:spacing w:after="60" w:before="60"/>
        <w:jc w:val="left"/>
      </w:pPr>
      <w:r>
        <w:rPr>
          <w:rFonts w:ascii="Arial" w:cs="Arial" w:eastAsia="Arial" w:hAnsi="Arial"/>
          <w:b w:val="false"/>
          <w:bCs w:val="false"/>
          <w:i w:val="false"/>
          <w:iCs w:val="false"/>
          <w:color w:val="212121"/>
          <w:sz w:val="22"/>
          <w:szCs w:val="22"/>
        </w:rPr>
        <w:t xml:space="preserve">Las auditorías internas son el mecanismo de control y mejora continua del sistema de neuroinclusión. Para ser válidas como evidencia CENI, deben cumplir los siguientes requisitos:</w:t>
      </w:r>
    </w:p>
    <w:p>
      <w:pPr>
        <w:pStyle w:val="ListParagraph"/>
        <w:numPr>
          <w:ilvl w:val="0"/>
          <w:numId w:val="2"/>
        </w:numPr>
        <w:spacing w:after="40" w:before="40"/>
      </w:pPr>
      <w:r>
        <w:rPr>
          <w:rFonts w:ascii="Arial" w:cs="Arial" w:eastAsia="Arial" w:hAnsi="Arial"/>
          <w:color w:val="212121"/>
          <w:sz w:val="22"/>
          <w:szCs w:val="22"/>
        </w:rPr>
        <w:t xml:space="preserve">Periodicidad: al menos dos por año (cada seis meses).</w:t>
      </w:r>
    </w:p>
    <w:p>
      <w:pPr>
        <w:pStyle w:val="ListParagraph"/>
        <w:numPr>
          <w:ilvl w:val="0"/>
          <w:numId w:val="2"/>
        </w:numPr>
        <w:spacing w:after="40" w:before="40"/>
      </w:pPr>
      <w:r>
        <w:rPr>
          <w:rFonts w:ascii="Arial" w:cs="Arial" w:eastAsia="Arial" w:hAnsi="Arial"/>
          <w:color w:val="212121"/>
          <w:sz w:val="22"/>
          <w:szCs w:val="22"/>
        </w:rPr>
        <w:t xml:space="preserve">Instrumento: instrumento oficial de autoevaluación CENI (disponible en alianzaindigo.org).</w:t>
      </w:r>
    </w:p>
    <w:p>
      <w:pPr>
        <w:pStyle w:val="ListParagraph"/>
        <w:numPr>
          <w:ilvl w:val="0"/>
          <w:numId w:val="2"/>
        </w:numPr>
        <w:spacing w:after="40" w:before="40"/>
      </w:pPr>
      <w:r>
        <w:rPr>
          <w:rFonts w:ascii="Arial" w:cs="Arial" w:eastAsia="Arial" w:hAnsi="Arial"/>
          <w:color w:val="212121"/>
          <w:sz w:val="22"/>
          <w:szCs w:val="22"/>
        </w:rPr>
        <w:t xml:space="preserve">Responsable: el Responsable de Neuroinclusión, con participación de al menos un colaborador neurodivergente.</w:t>
      </w:r>
    </w:p>
    <w:p>
      <w:pPr>
        <w:pStyle w:val="ListParagraph"/>
        <w:numPr>
          <w:ilvl w:val="0"/>
          <w:numId w:val="2"/>
        </w:numPr>
        <w:spacing w:after="40" w:before="40"/>
      </w:pPr>
      <w:r>
        <w:rPr>
          <w:rFonts w:ascii="Arial" w:cs="Arial" w:eastAsia="Arial" w:hAnsi="Arial"/>
          <w:color w:val="212121"/>
          <w:sz w:val="22"/>
          <w:szCs w:val="22"/>
        </w:rPr>
        <w:t xml:space="preserve">Documentación: informe escrito con: fecha, evaluadores, puntuación por criterio, puntuación total, hallazgos principales, compromisos de mejora y firma del responsable.</w:t>
      </w:r>
    </w:p>
    <w:p>
      <w:pPr>
        <w:pStyle w:val="ListParagraph"/>
        <w:numPr>
          <w:ilvl w:val="0"/>
          <w:numId w:val="2"/>
        </w:numPr>
        <w:spacing w:after="40" w:before="40"/>
      </w:pPr>
      <w:r>
        <w:rPr>
          <w:rFonts w:ascii="Arial" w:cs="Arial" w:eastAsia="Arial" w:hAnsi="Arial"/>
          <w:color w:val="212121"/>
          <w:sz w:val="22"/>
          <w:szCs w:val="22"/>
        </w:rPr>
        <w:t xml:space="preserve">Seguimiento: cada compromiso del informe tiene un responsable y una fecha de verificación.</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8.4 Mystery client neurodivergente</w:t>
      </w:r>
    </w:p>
    <w:p>
      <w:pPr>
        <w:spacing w:after="60" w:before="60"/>
        <w:jc w:val="left"/>
      </w:pPr>
      <w:r>
        <w:rPr>
          <w:rFonts w:ascii="Arial" w:cs="Arial" w:eastAsia="Arial" w:hAnsi="Arial"/>
          <w:b w:val="false"/>
          <w:bCs w:val="false"/>
          <w:i w:val="false"/>
          <w:iCs w:val="false"/>
          <w:color w:val="212121"/>
          <w:sz w:val="22"/>
          <w:szCs w:val="22"/>
        </w:rPr>
        <w:t xml:space="preserve">El mystery client neurodivergente es una herramienta de evaluación cuantitativa de la experiencia real de usuario. Consiste en que una persona neurodivergente —capacitada y registrada en el padrón de auditores de Alianza Índigo— visita el espacio o interactúa con la organización de manera anónima, utilizando el instrumento de evaluación de experiencia CENI, y entrega un informe estructurado.</w:t>
      </w:r>
    </w:p>
    <w:p>
      <w:pPr>
        <w:spacing w:after="60" w:before="60"/>
        <w:jc w:val="left"/>
      </w:pPr>
      <w:r>
        <w:rPr>
          <w:rFonts w:ascii="Arial" w:cs="Arial" w:eastAsia="Arial" w:hAnsi="Arial"/>
          <w:b w:val="false"/>
          <w:bCs w:val="false"/>
          <w:i w:val="false"/>
          <w:iCs w:val="false"/>
          <w:color w:val="212121"/>
          <w:sz w:val="22"/>
          <w:szCs w:val="22"/>
        </w:rPr>
        <w:t xml:space="preserve">El informe de mystery client evalúa:</w:t>
      </w:r>
    </w:p>
    <w:p>
      <w:pPr>
        <w:pStyle w:val="ListParagraph"/>
        <w:numPr>
          <w:ilvl w:val="0"/>
          <w:numId w:val="2"/>
        </w:numPr>
        <w:spacing w:after="40" w:before="40"/>
      </w:pPr>
      <w:r>
        <w:rPr>
          <w:rFonts w:ascii="Arial" w:cs="Arial" w:eastAsia="Arial" w:hAnsi="Arial"/>
          <w:color w:val="212121"/>
          <w:sz w:val="22"/>
          <w:szCs w:val="22"/>
        </w:rPr>
        <w:t xml:space="preserve">Primera impresión sensorial al entrar al espacio</w:t>
      </w:r>
    </w:p>
    <w:p>
      <w:pPr>
        <w:pStyle w:val="ListParagraph"/>
        <w:numPr>
          <w:ilvl w:val="0"/>
          <w:numId w:val="2"/>
        </w:numPr>
        <w:spacing w:after="40" w:before="40"/>
      </w:pPr>
      <w:r>
        <w:rPr>
          <w:rFonts w:ascii="Arial" w:cs="Arial" w:eastAsia="Arial" w:hAnsi="Arial"/>
          <w:color w:val="212121"/>
          <w:sz w:val="22"/>
          <w:szCs w:val="22"/>
        </w:rPr>
        <w:t xml:space="preserve">Claridad y accesibilidad de la señalización</w:t>
      </w:r>
    </w:p>
    <w:p>
      <w:pPr>
        <w:pStyle w:val="ListParagraph"/>
        <w:numPr>
          <w:ilvl w:val="0"/>
          <w:numId w:val="2"/>
        </w:numPr>
        <w:spacing w:after="40" w:before="40"/>
      </w:pPr>
      <w:r>
        <w:rPr>
          <w:rFonts w:ascii="Arial" w:cs="Arial" w:eastAsia="Arial" w:hAnsi="Arial"/>
          <w:color w:val="212121"/>
          <w:sz w:val="22"/>
          <w:szCs w:val="22"/>
        </w:rPr>
        <w:t xml:space="preserve">Calidad de la atención recibida (comunicación, tiempos de respuesta, ausencia de coerción social)</w:t>
      </w:r>
    </w:p>
    <w:p>
      <w:pPr>
        <w:pStyle w:val="ListParagraph"/>
        <w:numPr>
          <w:ilvl w:val="0"/>
          <w:numId w:val="2"/>
        </w:numPr>
        <w:spacing w:after="40" w:before="40"/>
      </w:pPr>
      <w:r>
        <w:rPr>
          <w:rFonts w:ascii="Arial" w:cs="Arial" w:eastAsia="Arial" w:hAnsi="Arial"/>
          <w:color w:val="212121"/>
          <w:sz w:val="22"/>
          <w:szCs w:val="22"/>
        </w:rPr>
        <w:t xml:space="preserve">Disponibilidad y accesibilidad del espacio de calma</w:t>
      </w:r>
    </w:p>
    <w:p>
      <w:pPr>
        <w:pStyle w:val="ListParagraph"/>
        <w:numPr>
          <w:ilvl w:val="0"/>
          <w:numId w:val="2"/>
        </w:numPr>
        <w:spacing w:after="40" w:before="40"/>
      </w:pPr>
      <w:r>
        <w:rPr>
          <w:rFonts w:ascii="Arial" w:cs="Arial" w:eastAsia="Arial" w:hAnsi="Arial"/>
          <w:color w:val="212121"/>
          <w:sz w:val="22"/>
          <w:szCs w:val="22"/>
        </w:rPr>
        <w:t xml:space="preserve">Disponibilidad de recursos sensoriales</w:t>
      </w:r>
    </w:p>
    <w:p>
      <w:pPr>
        <w:pStyle w:val="ListParagraph"/>
        <w:numPr>
          <w:ilvl w:val="0"/>
          <w:numId w:val="2"/>
        </w:numPr>
        <w:spacing w:after="40" w:before="40"/>
      </w:pPr>
      <w:r>
        <w:rPr>
          <w:rFonts w:ascii="Arial" w:cs="Arial" w:eastAsia="Arial" w:hAnsi="Arial"/>
          <w:color w:val="212121"/>
          <w:sz w:val="22"/>
          <w:szCs w:val="22"/>
        </w:rPr>
        <w:t xml:space="preserve">Cumplimiento del protocolo de manejo de situaciones de alta demanda</w:t>
      </w:r>
    </w:p>
    <w:p>
      <w:pPr>
        <w:pStyle w:val="ListParagraph"/>
        <w:numPr>
          <w:ilvl w:val="0"/>
          <w:numId w:val="2"/>
        </w:numPr>
        <w:spacing w:after="40" w:before="40"/>
      </w:pPr>
      <w:r>
        <w:rPr>
          <w:rFonts w:ascii="Arial" w:cs="Arial" w:eastAsia="Arial" w:hAnsi="Arial"/>
          <w:color w:val="212121"/>
          <w:sz w:val="22"/>
          <w:szCs w:val="22"/>
        </w:rPr>
        <w:t xml:space="preserve">Experiencia general de inclusión en el servicio</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8.5 Canal de retroalimentación accesible</w:t>
      </w:r>
    </w:p>
    <w:p>
      <w:pPr>
        <w:spacing w:after="60" w:before="60"/>
        <w:jc w:val="left"/>
      </w:pPr>
      <w:r>
        <w:rPr>
          <w:rFonts w:ascii="Arial" w:cs="Arial" w:eastAsia="Arial" w:hAnsi="Arial"/>
          <w:b w:val="false"/>
          <w:bCs w:val="false"/>
          <w:i w:val="false"/>
          <w:iCs w:val="false"/>
          <w:color w:val="212121"/>
          <w:sz w:val="22"/>
          <w:szCs w:val="22"/>
        </w:rPr>
        <w:t xml:space="preserve">Todo entorno certificado CENI debe contar con un canal de retroalimentación específico para reportar barreras de accesibilidad neurodivergente. El canal debe ser:</w:t>
      </w:r>
    </w:p>
    <w:p>
      <w:pPr>
        <w:pStyle w:val="ListParagraph"/>
        <w:numPr>
          <w:ilvl w:val="0"/>
          <w:numId w:val="2"/>
        </w:numPr>
        <w:spacing w:after="40" w:before="40"/>
      </w:pPr>
      <w:r>
        <w:rPr>
          <w:rFonts w:ascii="Arial" w:cs="Arial" w:eastAsia="Arial" w:hAnsi="Arial"/>
          <w:color w:val="212121"/>
          <w:sz w:val="22"/>
          <w:szCs w:val="22"/>
        </w:rPr>
        <w:t xml:space="preserve">Simple: máximo tres pasos para enviar un reporte</w:t>
      </w:r>
    </w:p>
    <w:p>
      <w:pPr>
        <w:pStyle w:val="ListParagraph"/>
        <w:numPr>
          <w:ilvl w:val="0"/>
          <w:numId w:val="2"/>
        </w:numPr>
        <w:spacing w:after="40" w:before="40"/>
      </w:pPr>
      <w:r>
        <w:rPr>
          <w:rFonts w:ascii="Arial" w:cs="Arial" w:eastAsia="Arial" w:hAnsi="Arial"/>
          <w:color w:val="212121"/>
          <w:sz w:val="22"/>
          <w:szCs w:val="22"/>
        </w:rPr>
        <w:t xml:space="preserve">Accesible: disponible en formato físico (buzón), digital (formulario sin CAPTCHA) y verbal (línea directa con el Responsable de Neuroinclusión)</w:t>
      </w:r>
    </w:p>
    <w:p>
      <w:pPr>
        <w:pStyle w:val="ListParagraph"/>
        <w:numPr>
          <w:ilvl w:val="0"/>
          <w:numId w:val="2"/>
        </w:numPr>
        <w:spacing w:after="40" w:before="40"/>
      </w:pPr>
      <w:r>
        <w:rPr>
          <w:rFonts w:ascii="Arial" w:cs="Arial" w:eastAsia="Arial" w:hAnsi="Arial"/>
          <w:color w:val="212121"/>
          <w:sz w:val="22"/>
          <w:szCs w:val="22"/>
        </w:rPr>
        <w:t xml:space="preserve">Anónimo: no debe requerir identificación del usuario para reportar una barrera</w:t>
      </w:r>
    </w:p>
    <w:p>
      <w:pPr>
        <w:pStyle w:val="ListParagraph"/>
        <w:numPr>
          <w:ilvl w:val="0"/>
          <w:numId w:val="2"/>
        </w:numPr>
        <w:spacing w:after="40" w:before="40"/>
      </w:pPr>
      <w:r>
        <w:rPr>
          <w:rFonts w:ascii="Arial" w:cs="Arial" w:eastAsia="Arial" w:hAnsi="Arial"/>
          <w:color w:val="212121"/>
          <w:sz w:val="22"/>
          <w:szCs w:val="22"/>
        </w:rPr>
        <w:t xml:space="preserve">Respondido: todo reporte recibe acuse de recibo en 24 horas y respuesta completa en 5 días hábiles</w:t>
      </w:r>
    </w:p>
    <w:p>
      <w:pPr>
        <w:pStyle w:val="ListParagraph"/>
        <w:numPr>
          <w:ilvl w:val="0"/>
          <w:numId w:val="2"/>
        </w:numPr>
        <w:spacing w:after="40" w:before="40"/>
      </w:pPr>
      <w:r>
        <w:rPr>
          <w:rFonts w:ascii="Arial" w:cs="Arial" w:eastAsia="Arial" w:hAnsi="Arial"/>
          <w:color w:val="212121"/>
          <w:sz w:val="22"/>
          <w:szCs w:val="22"/>
        </w:rPr>
        <w:t xml:space="preserve">Trazable: los reportes se registran en un log con fecha, descripción, acción tomada y cierre</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8.6 Plan de Mejora Continua de Neuroinclusión (PMCN)</w:t>
      </w:r>
    </w:p>
    <w:p>
      <w:pPr>
        <w:spacing w:after="60" w:before="60"/>
        <w:jc w:val="left"/>
      </w:pPr>
      <w:r>
        <w:rPr>
          <w:rFonts w:ascii="Arial" w:cs="Arial" w:eastAsia="Arial" w:hAnsi="Arial"/>
          <w:b w:val="false"/>
          <w:bCs w:val="false"/>
          <w:i w:val="false"/>
          <w:iCs w:val="false"/>
          <w:color w:val="212121"/>
          <w:sz w:val="22"/>
          <w:szCs w:val="22"/>
        </w:rPr>
        <w:t xml:space="preserve">El PMCN es el instrumento de gestión que conecta los resultados de las auditorías, el mystery client y el canal de retroalimentación con acciones concretas de mejora. Para ser válido como evidencia CENI, el PMCN debe:</w:t>
      </w:r>
    </w:p>
    <w:p>
      <w:pPr>
        <w:pStyle w:val="ListParagraph"/>
        <w:numPr>
          <w:ilvl w:val="0"/>
          <w:numId w:val="2"/>
        </w:numPr>
        <w:spacing w:after="40" w:before="40"/>
      </w:pPr>
      <w:r>
        <w:rPr>
          <w:rFonts w:ascii="Arial" w:cs="Arial" w:eastAsia="Arial" w:hAnsi="Arial"/>
          <w:color w:val="212121"/>
          <w:sz w:val="22"/>
          <w:szCs w:val="22"/>
        </w:rPr>
        <w:t xml:space="preserve">Tener objetivos SMART (Específicos, Medibles, Alcanzables, Relevantes, Temporales)</w:t>
      </w:r>
    </w:p>
    <w:p>
      <w:pPr>
        <w:pStyle w:val="ListParagraph"/>
        <w:numPr>
          <w:ilvl w:val="0"/>
          <w:numId w:val="2"/>
        </w:numPr>
        <w:spacing w:after="40" w:before="40"/>
      </w:pPr>
      <w:r>
        <w:rPr>
          <w:rFonts w:ascii="Arial" w:cs="Arial" w:eastAsia="Arial" w:hAnsi="Arial"/>
          <w:color w:val="212121"/>
          <w:sz w:val="22"/>
          <w:szCs w:val="22"/>
        </w:rPr>
        <w:t xml:space="preserve">Incluir al menos un objetivo por cada dimensión con puntuación inferior al 80% de su máximo</w:t>
      </w:r>
    </w:p>
    <w:p>
      <w:pPr>
        <w:pStyle w:val="ListParagraph"/>
        <w:numPr>
          <w:ilvl w:val="0"/>
          <w:numId w:val="2"/>
        </w:numPr>
        <w:spacing w:after="40" w:before="40"/>
      </w:pPr>
      <w:r>
        <w:rPr>
          <w:rFonts w:ascii="Arial" w:cs="Arial" w:eastAsia="Arial" w:hAnsi="Arial"/>
          <w:color w:val="212121"/>
          <w:sz w:val="22"/>
          <w:szCs w:val="22"/>
        </w:rPr>
        <w:t xml:space="preserve">Asignar un responsable con nombre y cargo a cada objetivo</w:t>
      </w:r>
    </w:p>
    <w:p>
      <w:pPr>
        <w:pStyle w:val="ListParagraph"/>
        <w:numPr>
          <w:ilvl w:val="0"/>
          <w:numId w:val="2"/>
        </w:numPr>
        <w:spacing w:after="40" w:before="40"/>
      </w:pPr>
      <w:r>
        <w:rPr>
          <w:rFonts w:ascii="Arial" w:cs="Arial" w:eastAsia="Arial" w:hAnsi="Arial"/>
          <w:color w:val="212121"/>
          <w:sz w:val="22"/>
          <w:szCs w:val="22"/>
        </w:rPr>
        <w:t xml:space="preserve">Tener fechas de cumplimiento trimestrales</w:t>
      </w:r>
    </w:p>
    <w:p>
      <w:pPr>
        <w:pStyle w:val="ListParagraph"/>
        <w:numPr>
          <w:ilvl w:val="0"/>
          <w:numId w:val="2"/>
        </w:numPr>
        <w:spacing w:after="40" w:before="40"/>
      </w:pPr>
      <w:r>
        <w:rPr>
          <w:rFonts w:ascii="Arial" w:cs="Arial" w:eastAsia="Arial" w:hAnsi="Arial"/>
          <w:color w:val="212121"/>
          <w:sz w:val="22"/>
          <w:szCs w:val="22"/>
        </w:rPr>
        <w:t xml:space="preserve">Ser revisado formalmente cada trimestre con registro escrito de avance</w:t>
      </w:r>
    </w:p>
    <w:p>
      <w:pPr>
        <w:pStyle w:val="ListParagraph"/>
        <w:numPr>
          <w:ilvl w:val="0"/>
          <w:numId w:val="2"/>
        </w:numPr>
        <w:spacing w:after="40" w:before="40"/>
      </w:pPr>
      <w:r>
        <w:rPr>
          <w:rFonts w:ascii="Arial" w:cs="Arial" w:eastAsia="Arial" w:hAnsi="Arial"/>
          <w:color w:val="212121"/>
          <w:sz w:val="22"/>
          <w:szCs w:val="22"/>
        </w:rPr>
        <w:t xml:space="preserve">Estar aprobado por la dirección y publicado internamente</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8.7 Evaluación del módulo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r>
              <w:rPr>
                <w:rFonts w:ascii="Arial" w:cs="Arial" w:eastAsia="Arial" w:hAnsi="Arial"/>
                <w:b/>
                <w:bCs/>
                <w:color w:val="FFFFFF"/>
                <w:sz w:val="21"/>
                <w:szCs w:val="21"/>
              </w:rPr>
              <w:t xml:space="preserve">Componente de Evaluación</w:t>
            </w:r>
          </w:p>
        </w:tc>
        <w:tc>
          <w:tcPr>
            <w:tcW w:type="dxa" w:w="180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Tipo</w:t>
            </w:r>
          </w:p>
        </w:tc>
        <w:tc>
          <w:tcPr>
            <w:tcW w:type="dxa" w:w="180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Valor</w:t>
            </w:r>
          </w:p>
        </w:tc>
      </w:tr>
      <w:tr>
        <w:tc>
          <w:tcPr>
            <w:tcW w:type="dxa" w:w="576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r>
              <w:rPr>
                <w:rFonts w:ascii="Arial" w:cs="Arial" w:eastAsia="Arial" w:hAnsi="Arial"/>
                <w:color w:val="212121"/>
                <w:sz w:val="21"/>
                <w:szCs w:val="21"/>
              </w:rPr>
              <w:t xml:space="preserve">Quiz de 10 preguntas sobre gobernanza, RIN y auditorías</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color w:val="616161"/>
                <w:sz w:val="21"/>
                <w:szCs w:val="21"/>
              </w:rPr>
              <w:t xml:space="preserve">Opción múltiple</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25%</w:t>
            </w:r>
          </w:p>
        </w:tc>
      </w:tr>
      <w:tr>
        <w:tc>
          <w:tcPr>
            <w:tcW w:type="dxa" w:w="57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212121"/>
                <w:sz w:val="21"/>
                <w:szCs w:val="21"/>
              </w:rPr>
              <w:t xml:space="preserve">Borrador de estructura del RIN para la organización del participante</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Arial" w:cs="Arial" w:eastAsia="Arial" w:hAnsi="Arial"/>
                <w:color w:val="616161"/>
                <w:sz w:val="21"/>
                <w:szCs w:val="21"/>
              </w:rPr>
              <w:t xml:space="preserve">Práctica escrita</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40%</w:t>
            </w:r>
          </w:p>
        </w:tc>
      </w:tr>
      <w:tr>
        <w:tc>
          <w:tcPr>
            <w:tcW w:type="dxa" w:w="576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r>
              <w:rPr>
                <w:rFonts w:ascii="Arial" w:cs="Arial" w:eastAsia="Arial" w:hAnsi="Arial"/>
                <w:color w:val="212121"/>
                <w:sz w:val="21"/>
                <w:szCs w:val="21"/>
              </w:rPr>
              <w:t xml:space="preserve">Diseño de canal de retroalimentación y log de seguimiento</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color w:val="616161"/>
                <w:sz w:val="21"/>
                <w:szCs w:val="21"/>
              </w:rPr>
              <w:t xml:space="preserve">Práctica aplicada</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35%</w:t>
            </w:r>
          </w:p>
        </w:tc>
      </w:tr>
    </w:tbl>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B0082" w:val="clear"/>
            <w:tcMar>
              <w:top w:type="dxa" w:w="160"/>
              <w:left w:type="dxa" w:w="240"/>
              <w:bottom w:type="dxa" w:w="60"/>
              <w:right w:type="dxa" w:w="240"/>
            </w:tcMar>
          </w:tcPr>
          <w:p>
            <w:pPr>
              <w:jc w:val="left"/>
            </w:pPr>
            <w:r>
              <w:rPr>
                <w:rFonts w:ascii="Arial" w:cs="Arial" w:eastAsia="Arial" w:hAnsi="Arial"/>
                <w:b/>
                <w:bCs/>
                <w:color w:val="B39DDB"/>
                <w:sz w:val="22"/>
                <w:szCs w:val="22"/>
              </w:rPr>
              <w:t xml:space="preserve">MÓDULO 9</w:t>
            </w:r>
          </w:p>
          <w:p>
            <w:pPr>
              <w:jc w:val="left"/>
            </w:pPr>
            <w:r>
              <w:rPr>
                <w:rFonts w:ascii="Arial" w:cs="Arial" w:eastAsia="Arial" w:hAnsi="Arial"/>
                <w:b/>
                <w:bCs/>
                <w:color w:val="FFFFFF"/>
                <w:sz w:val="36"/>
                <w:szCs w:val="36"/>
              </w:rPr>
              <w:t xml:space="preserve">IMPLEMENTACIÓN PRÁCTICA POR TIPO DE ACTOR</w:t>
            </w:r>
          </w:p>
        </w:tc>
      </w:tr>
      <w:tr>
        <w:tc>
          <w:tcPr>
            <w:tcBorders>
              <w:top w:val="none" w:color="FFFFFF" w:sz="0"/>
              <w:left w:val="none" w:color="FFFFFF" w:sz="0"/>
              <w:bottom w:val="none" w:color="FFFFFF" w:sz="0"/>
              <w:right w:val="none" w:color="FFFFFF" w:sz="0"/>
            </w:tcBorders>
            <w:shd w:fill="6A0DAD" w:val="clear"/>
            <w:tcMar>
              <w:top w:type="dxa" w:w="80"/>
              <w:left w:type="dxa" w:w="240"/>
              <w:bottom w:type="dxa" w:w="80"/>
              <w:right w:type="dxa" w:w="240"/>
            </w:tcMar>
          </w:tcPr>
          <w:p>
            <w:r>
              <w:rPr>
                <w:rFonts w:ascii="Arial" w:cs="Arial" w:eastAsia="Arial" w:hAnsi="Arial"/>
                <w:color w:val="FFFFFF"/>
                <w:sz w:val="20"/>
                <w:szCs w:val="20"/>
              </w:rPr>
              <w:t xml:space="preserve">Duración: 90 minutos   Dirigido a: Segmentado por perfil — ver instrucciones del facilitador</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95C" w:sz="1"/>
              <w:left w:val="single" w:color="00695C" w:sz="1"/>
              <w:bottom w:val="single" w:color="00695C" w:sz="1"/>
              <w:right w:val="single" w:color="00695C" w:sz="1"/>
            </w:tcBorders>
            <w:shd w:fill="00695C" w:val="clear"/>
            <w:tcMar>
              <w:top w:type="dxa" w:w="80"/>
              <w:left w:type="dxa" w:w="160"/>
              <w:bottom w:type="dxa" w:w="80"/>
              <w:right w:type="dxa" w:w="160"/>
            </w:tcMar>
          </w:tcPr>
          <w:p>
            <w:r>
              <w:rPr>
                <w:rFonts w:ascii="Arial" w:cs="Arial" w:eastAsia="Arial" w:hAnsi="Arial"/>
                <w:b/>
                <w:bCs/>
                <w:color w:val="FFFFFF"/>
                <w:sz w:val="22"/>
                <w:szCs w:val="22"/>
              </w:rPr>
              <w:t xml:space="preserve">OBJETIVOS DEL MÓDULO</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Aplicar los principios CENI a las responsabilidades específicas de cada tipo de actor.</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Identificar los criterios de mayor impacto según el rol y el contexto de actuación.</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Elaborar un plan de acción inmediata personalizado para el primer mes post-capacitación.</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9.1 Propietarios y directivos</w:t>
      </w:r>
    </w:p>
    <w:p>
      <w:pPr>
        <w:spacing w:after="60" w:before="60"/>
        <w:jc w:val="left"/>
      </w:pPr>
      <w:r>
        <w:rPr>
          <w:rFonts w:ascii="Arial" w:cs="Arial" w:eastAsia="Arial" w:hAnsi="Arial"/>
          <w:b w:val="false"/>
          <w:bCs w:val="false"/>
          <w:i w:val="false"/>
          <w:iCs w:val="false"/>
          <w:color w:val="212121"/>
          <w:sz w:val="22"/>
          <w:szCs w:val="22"/>
        </w:rPr>
        <w:t xml:space="preserve">Para propietarios y directivos, la responsabilidad central en CENI es institucional: garantizar que la neuroinclusión esté integrada en la estrategia, el presupuesto y la cultura de la organización.</w:t>
      </w:r>
    </w:p>
    <w:p>
      <w:pPr>
        <w:spacing w:after="60" w:before="60"/>
        <w:jc w:val="left"/>
      </w:pPr>
      <w:r>
        <w:rPr>
          <w:rFonts w:ascii="Arial" w:cs="Arial" w:eastAsia="Arial" w:hAnsi="Arial"/>
          <w:b w:val="false"/>
          <w:bCs w:val="false"/>
          <w:i w:val="false"/>
          <w:iCs w:val="false"/>
          <w:color w:val="212121"/>
          <w:sz w:val="22"/>
          <w:szCs w:val="22"/>
        </w:rPr>
        <w:t xml:space="preserve">Acciones prioritarias:</w:t>
      </w:r>
    </w:p>
    <w:p>
      <w:pPr>
        <w:pStyle w:val="ListParagraph"/>
        <w:numPr>
          <w:ilvl w:val="0"/>
          <w:numId w:val="3"/>
        </w:numPr>
        <w:spacing w:after="40" w:before="40"/>
      </w:pPr>
      <w:r>
        <w:rPr>
          <w:rFonts w:ascii="Arial" w:cs="Arial" w:eastAsia="Arial" w:hAnsi="Arial"/>
          <w:color w:val="212121"/>
          <w:sz w:val="22"/>
          <w:szCs w:val="22"/>
        </w:rPr>
        <w:t xml:space="preserve">Designar formalmente al Responsable de Neuroinclusión en los primeros 30 días.</w:t>
      </w:r>
    </w:p>
    <w:p>
      <w:pPr>
        <w:pStyle w:val="ListParagraph"/>
        <w:numPr>
          <w:ilvl w:val="0"/>
          <w:numId w:val="3"/>
        </w:numPr>
        <w:spacing w:after="40" w:before="40"/>
      </w:pPr>
      <w:r>
        <w:rPr>
          <w:rFonts w:ascii="Arial" w:cs="Arial" w:eastAsia="Arial" w:hAnsi="Arial"/>
          <w:color w:val="212121"/>
          <w:sz w:val="22"/>
          <w:szCs w:val="22"/>
        </w:rPr>
        <w:t xml:space="preserve">Asignar presupuesto anual para adecuaciones, capacitación y auditorías.</w:t>
      </w:r>
    </w:p>
    <w:p>
      <w:pPr>
        <w:pStyle w:val="ListParagraph"/>
        <w:numPr>
          <w:ilvl w:val="0"/>
          <w:numId w:val="3"/>
        </w:numPr>
        <w:spacing w:after="40" w:before="40"/>
      </w:pPr>
      <w:r>
        <w:rPr>
          <w:rFonts w:ascii="Arial" w:cs="Arial" w:eastAsia="Arial" w:hAnsi="Arial"/>
          <w:color w:val="212121"/>
          <w:sz w:val="22"/>
          <w:szCs w:val="22"/>
        </w:rPr>
        <w:t xml:space="preserve">Aprobar y publicar el RIN o MONE antes de solicitar la certificación.</w:t>
      </w:r>
    </w:p>
    <w:p>
      <w:pPr>
        <w:pStyle w:val="ListParagraph"/>
        <w:numPr>
          <w:ilvl w:val="0"/>
          <w:numId w:val="3"/>
        </w:numPr>
        <w:spacing w:after="40" w:before="40"/>
      </w:pPr>
      <w:r>
        <w:rPr>
          <w:rFonts w:ascii="Arial" w:cs="Arial" w:eastAsia="Arial" w:hAnsi="Arial"/>
          <w:color w:val="212121"/>
          <w:sz w:val="22"/>
          <w:szCs w:val="22"/>
        </w:rPr>
        <w:t xml:space="preserve">Participar personalmente en al menos una sesión de capacitación CENI anual.</w:t>
      </w:r>
    </w:p>
    <w:p>
      <w:pPr>
        <w:pStyle w:val="ListParagraph"/>
        <w:numPr>
          <w:ilvl w:val="0"/>
          <w:numId w:val="3"/>
        </w:numPr>
        <w:spacing w:after="40" w:before="40"/>
      </w:pPr>
      <w:r>
        <w:rPr>
          <w:rFonts w:ascii="Arial" w:cs="Arial" w:eastAsia="Arial" w:hAnsi="Arial"/>
          <w:color w:val="212121"/>
          <w:sz w:val="22"/>
          <w:szCs w:val="22"/>
        </w:rPr>
        <w:t xml:space="preserve">Integrar indicadores de neuroinclusión en los tableros de desempeño organizacional.</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9.2 Empleados y colaboradores operativos</w:t>
      </w:r>
    </w:p>
    <w:p>
      <w:pPr>
        <w:spacing w:after="60" w:before="60"/>
        <w:jc w:val="left"/>
      </w:pPr>
      <w:r>
        <w:rPr>
          <w:rFonts w:ascii="Arial" w:cs="Arial" w:eastAsia="Arial" w:hAnsi="Arial"/>
          <w:b w:val="false"/>
          <w:bCs w:val="false"/>
          <w:i w:val="false"/>
          <w:iCs w:val="false"/>
          <w:color w:val="212121"/>
          <w:sz w:val="22"/>
          <w:szCs w:val="22"/>
        </w:rPr>
        <w:t xml:space="preserve">Para el equipo operativo, la responsabilidad es de aplicación cotidiana de los protocolos: en la comunicación, en el manejo de situaciones de crisis, en el respeto al stimming y en el uso de los recursos de accesibilidad disponibles.</w:t>
      </w:r>
    </w:p>
    <w:p>
      <w:pPr>
        <w:spacing w:after="60" w:before="60"/>
        <w:jc w:val="left"/>
      </w:pPr>
      <w:r>
        <w:rPr>
          <w:rFonts w:ascii="Arial" w:cs="Arial" w:eastAsia="Arial" w:hAnsi="Arial"/>
          <w:b w:val="false"/>
          <w:bCs w:val="false"/>
          <w:i w:val="false"/>
          <w:iCs w:val="false"/>
          <w:color w:val="212121"/>
          <w:sz w:val="22"/>
          <w:szCs w:val="22"/>
        </w:rPr>
        <w:t xml:space="preserve">Acciones prioritarias:</w:t>
      </w:r>
    </w:p>
    <w:p>
      <w:pPr>
        <w:pStyle w:val="ListParagraph"/>
        <w:numPr>
          <w:ilvl w:val="0"/>
          <w:numId w:val="3"/>
        </w:numPr>
        <w:spacing w:after="40" w:before="40"/>
      </w:pPr>
      <w:r>
        <w:rPr>
          <w:rFonts w:ascii="Arial" w:cs="Arial" w:eastAsia="Arial" w:hAnsi="Arial"/>
          <w:color w:val="212121"/>
          <w:sz w:val="22"/>
          <w:szCs w:val="22"/>
        </w:rPr>
        <w:t xml:space="preserve">Completar el Curso CENI completo (16 horas) y las actualizaciones anuales.</w:t>
      </w:r>
    </w:p>
    <w:p>
      <w:pPr>
        <w:pStyle w:val="ListParagraph"/>
        <w:numPr>
          <w:ilvl w:val="0"/>
          <w:numId w:val="3"/>
        </w:numPr>
        <w:spacing w:after="40" w:before="40"/>
      </w:pPr>
      <w:r>
        <w:rPr>
          <w:rFonts w:ascii="Arial" w:cs="Arial" w:eastAsia="Arial" w:hAnsi="Arial"/>
          <w:color w:val="212121"/>
          <w:sz w:val="22"/>
          <w:szCs w:val="22"/>
        </w:rPr>
        <w:t xml:space="preserve">Conocer la ubicación y el protocolo de acceso al espacio de calma.</w:t>
      </w:r>
    </w:p>
    <w:p>
      <w:pPr>
        <w:pStyle w:val="ListParagraph"/>
        <w:numPr>
          <w:ilvl w:val="0"/>
          <w:numId w:val="3"/>
        </w:numPr>
        <w:spacing w:after="40" w:before="40"/>
      </w:pPr>
      <w:r>
        <w:rPr>
          <w:rFonts w:ascii="Arial" w:cs="Arial" w:eastAsia="Arial" w:hAnsi="Arial"/>
          <w:color w:val="212121"/>
          <w:sz w:val="22"/>
          <w:szCs w:val="22"/>
        </w:rPr>
        <w:t xml:space="preserve">Aplicar el protocolo de comunicación neuroafirmativa en todas las interacciones.</w:t>
      </w:r>
    </w:p>
    <w:p>
      <w:pPr>
        <w:pStyle w:val="ListParagraph"/>
        <w:numPr>
          <w:ilvl w:val="0"/>
          <w:numId w:val="3"/>
        </w:numPr>
        <w:spacing w:after="40" w:before="40"/>
      </w:pPr>
      <w:r>
        <w:rPr>
          <w:rFonts w:ascii="Arial" w:cs="Arial" w:eastAsia="Arial" w:hAnsi="Arial"/>
          <w:color w:val="212121"/>
          <w:sz w:val="22"/>
          <w:szCs w:val="22"/>
        </w:rPr>
        <w:t xml:space="preserve">Reportar barreras de accesibilidad identificadas a través del canal oficial.</w:t>
      </w:r>
    </w:p>
    <w:p>
      <w:pPr>
        <w:pStyle w:val="ListParagraph"/>
        <w:numPr>
          <w:ilvl w:val="0"/>
          <w:numId w:val="3"/>
        </w:numPr>
        <w:spacing w:after="40" w:before="40"/>
      </w:pPr>
      <w:r>
        <w:rPr>
          <w:rFonts w:ascii="Arial" w:cs="Arial" w:eastAsia="Arial" w:hAnsi="Arial"/>
          <w:color w:val="212121"/>
          <w:sz w:val="22"/>
          <w:szCs w:val="22"/>
        </w:rPr>
        <w:t xml:space="preserve">Nunca corregir, comentar ni sancionar el stimming de un compañero o usuario.</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9.3 Docentes y personal educativo</w:t>
      </w:r>
    </w:p>
    <w:p>
      <w:pPr>
        <w:spacing w:after="60" w:before="60"/>
        <w:jc w:val="left"/>
      </w:pPr>
      <w:r>
        <w:rPr>
          <w:rFonts w:ascii="Arial" w:cs="Arial" w:eastAsia="Arial" w:hAnsi="Arial"/>
          <w:b w:val="false"/>
          <w:bCs w:val="false"/>
          <w:i w:val="false"/>
          <w:iCs w:val="false"/>
          <w:color w:val="212121"/>
          <w:sz w:val="22"/>
          <w:szCs w:val="22"/>
        </w:rPr>
        <w:t xml:space="preserve">Para el sector educativo, CENI se articula con el Diseño Universal para el Aprendizaje (DUA). Los docentes certificados CENI comprenden que la accesibilidad pedagógica no es una adaptación para "alumnos especiales": es un diseño universal que beneficia a todos.</w:t>
      </w:r>
    </w:p>
    <w:p>
      <w:pPr>
        <w:spacing w:after="60" w:before="60"/>
        <w:jc w:val="left"/>
      </w:pPr>
      <w:r>
        <w:rPr>
          <w:rFonts w:ascii="Arial" w:cs="Arial" w:eastAsia="Arial" w:hAnsi="Arial"/>
          <w:b w:val="false"/>
          <w:bCs w:val="false"/>
          <w:i w:val="false"/>
          <w:iCs w:val="false"/>
          <w:color w:val="212121"/>
          <w:sz w:val="22"/>
          <w:szCs w:val="22"/>
        </w:rPr>
        <w:t xml:space="preserve">Acciones prioritarias:</w:t>
      </w:r>
    </w:p>
    <w:p>
      <w:pPr>
        <w:pStyle w:val="ListParagraph"/>
        <w:numPr>
          <w:ilvl w:val="0"/>
          <w:numId w:val="3"/>
        </w:numPr>
        <w:spacing w:after="40" w:before="40"/>
      </w:pPr>
      <w:r>
        <w:rPr>
          <w:rFonts w:ascii="Arial" w:cs="Arial" w:eastAsia="Arial" w:hAnsi="Arial"/>
          <w:color w:val="212121"/>
          <w:sz w:val="22"/>
          <w:szCs w:val="22"/>
        </w:rPr>
        <w:t xml:space="preserve">Eliminar de las evaluaciones cualquier criterio que mida habilidades comunicativas neurotípicas en lugar de conocimiento o competencia real.</w:t>
      </w:r>
    </w:p>
    <w:p>
      <w:pPr>
        <w:pStyle w:val="ListParagraph"/>
        <w:numPr>
          <w:ilvl w:val="0"/>
          <w:numId w:val="3"/>
        </w:numPr>
        <w:spacing w:after="40" w:before="40"/>
      </w:pPr>
      <w:r>
        <w:rPr>
          <w:rFonts w:ascii="Arial" w:cs="Arial" w:eastAsia="Arial" w:hAnsi="Arial"/>
          <w:color w:val="212121"/>
          <w:sz w:val="22"/>
          <w:szCs w:val="22"/>
        </w:rPr>
        <w:t xml:space="preserve">Ofrecer múltiples formatos de presentación (oral, escrita, visual, digital) para toda actividad relevante.</w:t>
      </w:r>
    </w:p>
    <w:p>
      <w:pPr>
        <w:pStyle w:val="ListParagraph"/>
        <w:numPr>
          <w:ilvl w:val="0"/>
          <w:numId w:val="3"/>
        </w:numPr>
        <w:spacing w:after="40" w:before="40"/>
      </w:pPr>
      <w:r>
        <w:rPr>
          <w:rFonts w:ascii="Arial" w:cs="Arial" w:eastAsia="Arial" w:hAnsi="Arial"/>
          <w:color w:val="212121"/>
          <w:sz w:val="22"/>
          <w:szCs w:val="22"/>
        </w:rPr>
        <w:t xml:space="preserve">Diseñar el aula con los umbrales sensoriales CENI (iluminación, ruido, señalización).</w:t>
      </w:r>
    </w:p>
    <w:p>
      <w:pPr>
        <w:pStyle w:val="ListParagraph"/>
        <w:numPr>
          <w:ilvl w:val="0"/>
          <w:numId w:val="3"/>
        </w:numPr>
        <w:spacing w:after="40" w:before="40"/>
      </w:pPr>
      <w:r>
        <w:rPr>
          <w:rFonts w:ascii="Arial" w:cs="Arial" w:eastAsia="Arial" w:hAnsi="Arial"/>
          <w:color w:val="212121"/>
          <w:sz w:val="22"/>
          <w:szCs w:val="22"/>
        </w:rPr>
        <w:t xml:space="preserve">Eliminar la exigencia de contacto visual, mano alzada y otras convenciones de participación neurotípica como criterios de evaluación.</w:t>
      </w:r>
    </w:p>
    <w:p>
      <w:pPr>
        <w:pStyle w:val="ListParagraph"/>
        <w:numPr>
          <w:ilvl w:val="0"/>
          <w:numId w:val="3"/>
        </w:numPr>
        <w:spacing w:after="40" w:before="40"/>
      </w:pPr>
      <w:r>
        <w:rPr>
          <w:rFonts w:ascii="Arial" w:cs="Arial" w:eastAsia="Arial" w:hAnsi="Arial"/>
          <w:color w:val="212121"/>
          <w:sz w:val="22"/>
          <w:szCs w:val="22"/>
        </w:rPr>
        <w:t xml:space="preserve">Implementar un protocolo de manejo de crisis sensoriales en el aula, con un plan acordado con el estudiante y su familia.</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9.4 Familias de personas neurodivergentes</w:t>
      </w:r>
    </w:p>
    <w:p>
      <w:pPr>
        <w:spacing w:after="60" w:before="60"/>
        <w:jc w:val="left"/>
      </w:pPr>
      <w:r>
        <w:rPr>
          <w:rFonts w:ascii="Arial" w:cs="Arial" w:eastAsia="Arial" w:hAnsi="Arial"/>
          <w:b w:val="false"/>
          <w:bCs w:val="false"/>
          <w:i w:val="false"/>
          <w:iCs w:val="false"/>
          <w:color w:val="212121"/>
          <w:sz w:val="22"/>
          <w:szCs w:val="22"/>
        </w:rPr>
        <w:t xml:space="preserve">Las familias son agentes de cambio en el entorno inmediato y aliadas estratégicas de la certificación CENI. Su participación es esencial tanto en el diagnóstico de barreras como en el co-diseño de soluciones.</w:t>
      </w:r>
    </w:p>
    <w:p>
      <w:pPr>
        <w:spacing w:after="60" w:before="60"/>
        <w:jc w:val="left"/>
      </w:pPr>
      <w:r>
        <w:rPr>
          <w:rFonts w:ascii="Arial" w:cs="Arial" w:eastAsia="Arial" w:hAnsi="Arial"/>
          <w:b w:val="false"/>
          <w:bCs w:val="false"/>
          <w:i w:val="false"/>
          <w:iCs w:val="false"/>
          <w:color w:val="212121"/>
          <w:sz w:val="22"/>
          <w:szCs w:val="22"/>
        </w:rPr>
        <w:t xml:space="preserve">Acciones prioritarias:</w:t>
      </w:r>
    </w:p>
    <w:p>
      <w:pPr>
        <w:pStyle w:val="ListParagraph"/>
        <w:numPr>
          <w:ilvl w:val="0"/>
          <w:numId w:val="3"/>
        </w:numPr>
        <w:spacing w:after="40" w:before="40"/>
      </w:pPr>
      <w:r>
        <w:rPr>
          <w:rFonts w:ascii="Arial" w:cs="Arial" w:eastAsia="Arial" w:hAnsi="Arial"/>
          <w:color w:val="212121"/>
          <w:sz w:val="22"/>
          <w:szCs w:val="22"/>
        </w:rPr>
        <w:t xml:space="preserve">Conocer los criterios CENI para poder evaluar y exigir que los espacios de la comunidad los cumplan.</w:t>
      </w:r>
    </w:p>
    <w:p>
      <w:pPr>
        <w:pStyle w:val="ListParagraph"/>
        <w:numPr>
          <w:ilvl w:val="0"/>
          <w:numId w:val="3"/>
        </w:numPr>
        <w:spacing w:after="40" w:before="40"/>
      </w:pPr>
      <w:r>
        <w:rPr>
          <w:rFonts w:ascii="Arial" w:cs="Arial" w:eastAsia="Arial" w:hAnsi="Arial"/>
          <w:color w:val="212121"/>
          <w:sz w:val="22"/>
          <w:szCs w:val="22"/>
        </w:rPr>
        <w:t xml:space="preserve">Reportar barreras de accesibilidad en escuelas, comercios y servicios utilizando el canal CENI oficial.</w:t>
      </w:r>
    </w:p>
    <w:p>
      <w:pPr>
        <w:pStyle w:val="ListParagraph"/>
        <w:numPr>
          <w:ilvl w:val="0"/>
          <w:numId w:val="3"/>
        </w:numPr>
        <w:spacing w:after="40" w:before="40"/>
      </w:pPr>
      <w:r>
        <w:rPr>
          <w:rFonts w:ascii="Arial" w:cs="Arial" w:eastAsia="Arial" w:hAnsi="Arial"/>
          <w:color w:val="212121"/>
          <w:sz w:val="22"/>
          <w:szCs w:val="22"/>
        </w:rPr>
        <w:t xml:space="preserve">Participar como mystery client certificado en la evaluación de espacios.</w:t>
      </w:r>
    </w:p>
    <w:p>
      <w:pPr>
        <w:pStyle w:val="ListParagraph"/>
        <w:numPr>
          <w:ilvl w:val="0"/>
          <w:numId w:val="3"/>
        </w:numPr>
        <w:spacing w:after="40" w:before="40"/>
      </w:pPr>
      <w:r>
        <w:rPr>
          <w:rFonts w:ascii="Arial" w:cs="Arial" w:eastAsia="Arial" w:hAnsi="Arial"/>
          <w:color w:val="212121"/>
          <w:sz w:val="22"/>
          <w:szCs w:val="22"/>
        </w:rPr>
        <w:t xml:space="preserve">Conectar con la red de familias Alianza Índigo para intercambiar experiencias y estrategias.</w:t>
      </w:r>
    </w:p>
    <w:p>
      <w:pPr>
        <w:pStyle w:val="ListParagraph"/>
        <w:numPr>
          <w:ilvl w:val="0"/>
          <w:numId w:val="3"/>
        </w:numPr>
        <w:spacing w:after="40" w:before="40"/>
      </w:pPr>
      <w:r>
        <w:rPr>
          <w:rFonts w:ascii="Arial" w:cs="Arial" w:eastAsia="Arial" w:hAnsi="Arial"/>
          <w:color w:val="212121"/>
          <w:sz w:val="22"/>
          <w:szCs w:val="22"/>
        </w:rPr>
        <w:t xml:space="preserve">Acompañar a sus familiares neurodivergentes en la autoidentificación y autodefensa de sus derechos.</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9.5 Prestadores de servicios de salud</w:t>
      </w:r>
    </w:p>
    <w:p>
      <w:pPr>
        <w:spacing w:after="60" w:before="60"/>
        <w:jc w:val="left"/>
      </w:pPr>
      <w:r>
        <w:rPr>
          <w:rFonts w:ascii="Arial" w:cs="Arial" w:eastAsia="Arial" w:hAnsi="Arial"/>
          <w:b w:val="false"/>
          <w:bCs w:val="false"/>
          <w:i w:val="false"/>
          <w:iCs w:val="false"/>
          <w:color w:val="212121"/>
          <w:sz w:val="22"/>
          <w:szCs w:val="22"/>
        </w:rPr>
        <w:t xml:space="preserve">El sector salud enfrenta una paradoja particular: es frecuentemente el primer punto de contacto institucional para personas neurodivergentes, y también uno de los entornos más hostiles desde el punto de vista sensorial y comunicativo.</w:t>
      </w:r>
    </w:p>
    <w:p>
      <w:pPr>
        <w:spacing w:after="60" w:before="60"/>
        <w:jc w:val="left"/>
      </w:pPr>
      <w:r>
        <w:rPr>
          <w:rFonts w:ascii="Arial" w:cs="Arial" w:eastAsia="Arial" w:hAnsi="Arial"/>
          <w:b w:val="false"/>
          <w:bCs w:val="false"/>
          <w:i w:val="false"/>
          <w:iCs w:val="false"/>
          <w:color w:val="212121"/>
          <w:sz w:val="22"/>
          <w:szCs w:val="22"/>
        </w:rPr>
        <w:t xml:space="preserve">Acciones prioritarias:</w:t>
      </w:r>
    </w:p>
    <w:p>
      <w:pPr>
        <w:pStyle w:val="ListParagraph"/>
        <w:numPr>
          <w:ilvl w:val="0"/>
          <w:numId w:val="3"/>
        </w:numPr>
        <w:spacing w:after="40" w:before="40"/>
      </w:pPr>
      <w:r>
        <w:rPr>
          <w:rFonts w:ascii="Arial" w:cs="Arial" w:eastAsia="Arial" w:hAnsi="Arial"/>
          <w:color w:val="212121"/>
          <w:sz w:val="22"/>
          <w:szCs w:val="22"/>
        </w:rPr>
        <w:t xml:space="preserve">Eliminar de los protocolos clínicos cualquier objetivo de "normalización" de rasgos neurodivergentes.</w:t>
      </w:r>
    </w:p>
    <w:p>
      <w:pPr>
        <w:pStyle w:val="ListParagraph"/>
        <w:numPr>
          <w:ilvl w:val="0"/>
          <w:numId w:val="3"/>
        </w:numPr>
        <w:spacing w:after="40" w:before="40"/>
      </w:pPr>
      <w:r>
        <w:rPr>
          <w:rFonts w:ascii="Arial" w:cs="Arial" w:eastAsia="Arial" w:hAnsi="Arial"/>
          <w:color w:val="212121"/>
          <w:sz w:val="22"/>
          <w:szCs w:val="22"/>
        </w:rPr>
        <w:t xml:space="preserve">Ofrecer consultas en horarios de baja estimulación y en espacios con umbrales sensoriales CENI.</w:t>
      </w:r>
    </w:p>
    <w:p>
      <w:pPr>
        <w:pStyle w:val="ListParagraph"/>
        <w:numPr>
          <w:ilvl w:val="0"/>
          <w:numId w:val="3"/>
        </w:numPr>
        <w:spacing w:after="40" w:before="40"/>
      </w:pPr>
      <w:r>
        <w:rPr>
          <w:rFonts w:ascii="Arial" w:cs="Arial" w:eastAsia="Arial" w:hAnsi="Arial"/>
          <w:color w:val="212121"/>
          <w:sz w:val="22"/>
          <w:szCs w:val="22"/>
        </w:rPr>
        <w:t xml:space="preserve">Capacitar al personal de recepción y triaje en comunicación neuroafirmativa y manejo de crisis sensoriales.</w:t>
      </w:r>
    </w:p>
    <w:p>
      <w:pPr>
        <w:pStyle w:val="ListParagraph"/>
        <w:numPr>
          <w:ilvl w:val="0"/>
          <w:numId w:val="3"/>
        </w:numPr>
        <w:spacing w:after="40" w:before="40"/>
      </w:pPr>
      <w:r>
        <w:rPr>
          <w:rFonts w:ascii="Arial" w:cs="Arial" w:eastAsia="Arial" w:hAnsi="Arial"/>
          <w:color w:val="212121"/>
          <w:sz w:val="22"/>
          <w:szCs w:val="22"/>
        </w:rPr>
        <w:t xml:space="preserve">Eliminar la exigencia de diagnóstico formal como condición para acceder a apoyos durante la consulta.</w:t>
      </w:r>
    </w:p>
    <w:p>
      <w:pPr>
        <w:pStyle w:val="ListParagraph"/>
        <w:numPr>
          <w:ilvl w:val="0"/>
          <w:numId w:val="3"/>
        </w:numPr>
        <w:spacing w:after="40" w:before="40"/>
      </w:pPr>
      <w:r>
        <w:rPr>
          <w:rFonts w:ascii="Arial" w:cs="Arial" w:eastAsia="Arial" w:hAnsi="Arial"/>
          <w:color w:val="212121"/>
          <w:sz w:val="22"/>
          <w:szCs w:val="22"/>
        </w:rPr>
        <w:t xml:space="preserve">Implementar el sistema de mystery client para evaluar la experiencia de usuarios neurodivergentes en las instalaciones.</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9.6 Sector comercial y de servicios</w:t>
      </w:r>
    </w:p>
    <w:p>
      <w:pPr>
        <w:spacing w:after="60" w:before="60"/>
        <w:jc w:val="left"/>
      </w:pPr>
      <w:r>
        <w:rPr>
          <w:rFonts w:ascii="Arial" w:cs="Arial" w:eastAsia="Arial" w:hAnsi="Arial"/>
          <w:b w:val="false"/>
          <w:bCs w:val="false"/>
          <w:i w:val="false"/>
          <w:iCs w:val="false"/>
          <w:color w:val="212121"/>
          <w:sz w:val="22"/>
          <w:szCs w:val="22"/>
        </w:rPr>
        <w:t xml:space="preserve">Tiendas, restaurantes, bancos, hoteles, transporte y demás servicios comerciales constituyen el tejido cotidiano del entorno neurodivergente. La certificación CENI Espacios para el sector comercial tiene el mayor potencial de impacto poblacional.</w:t>
      </w:r>
    </w:p>
    <w:p>
      <w:pPr>
        <w:spacing w:after="60" w:before="60"/>
        <w:jc w:val="left"/>
      </w:pPr>
      <w:r>
        <w:rPr>
          <w:rFonts w:ascii="Arial" w:cs="Arial" w:eastAsia="Arial" w:hAnsi="Arial"/>
          <w:b w:val="false"/>
          <w:bCs w:val="false"/>
          <w:i w:val="false"/>
          <w:iCs w:val="false"/>
          <w:color w:val="212121"/>
          <w:sz w:val="22"/>
          <w:szCs w:val="22"/>
        </w:rPr>
        <w:t xml:space="preserve">Las acciones de mayor impacto inmediato para el sector comercial son:</w:t>
      </w:r>
    </w:p>
    <w:p>
      <w:pPr>
        <w:pStyle w:val="ListParagraph"/>
        <w:numPr>
          <w:ilvl w:val="0"/>
          <w:numId w:val="2"/>
        </w:numPr>
        <w:spacing w:after="40" w:before="40"/>
      </w:pPr>
      <w:r>
        <w:rPr>
          <w:rFonts w:ascii="Arial" w:cs="Arial" w:eastAsia="Arial" w:hAnsi="Arial"/>
          <w:color w:val="212121"/>
          <w:sz w:val="22"/>
          <w:szCs w:val="22"/>
        </w:rPr>
        <w:t xml:space="preserve">Implementar un horario semanal de baja estimulación (mínimo 2 horas por semana)</w:t>
      </w:r>
    </w:p>
    <w:p>
      <w:pPr>
        <w:pStyle w:val="ListParagraph"/>
        <w:numPr>
          <w:ilvl w:val="0"/>
          <w:numId w:val="2"/>
        </w:numPr>
        <w:spacing w:after="40" w:before="40"/>
      </w:pPr>
      <w:r>
        <w:rPr>
          <w:rFonts w:ascii="Arial" w:cs="Arial" w:eastAsia="Arial" w:hAnsi="Arial"/>
          <w:color w:val="212121"/>
          <w:sz w:val="22"/>
          <w:szCs w:val="22"/>
        </w:rPr>
        <w:t xml:space="preserve">Instalar el kit sensorial de libre acceso al público en el punto de atención</w:t>
      </w:r>
    </w:p>
    <w:p>
      <w:pPr>
        <w:pStyle w:val="ListParagraph"/>
        <w:numPr>
          <w:ilvl w:val="0"/>
          <w:numId w:val="2"/>
        </w:numPr>
        <w:spacing w:after="40" w:before="40"/>
      </w:pPr>
      <w:r>
        <w:rPr>
          <w:rFonts w:ascii="Arial" w:cs="Arial" w:eastAsia="Arial" w:hAnsi="Arial"/>
          <w:color w:val="212121"/>
          <w:sz w:val="22"/>
          <w:szCs w:val="22"/>
        </w:rPr>
        <w:t xml:space="preserve">Publicar el mapa sensorial en la entrada y en el sitio web del establecimiento</w:t>
      </w:r>
    </w:p>
    <w:p>
      <w:pPr>
        <w:pStyle w:val="ListParagraph"/>
        <w:numPr>
          <w:ilvl w:val="0"/>
          <w:numId w:val="2"/>
        </w:numPr>
        <w:spacing w:after="40" w:before="40"/>
      </w:pPr>
      <w:r>
        <w:rPr>
          <w:rFonts w:ascii="Arial" w:cs="Arial" w:eastAsia="Arial" w:hAnsi="Arial"/>
          <w:color w:val="212121"/>
          <w:sz w:val="22"/>
          <w:szCs w:val="22"/>
        </w:rPr>
        <w:t xml:space="preserve">Capacitar a todo el personal de caja y atención en comunicación neuroafirmativa</w:t>
      </w:r>
    </w:p>
    <w:p>
      <w:pPr>
        <w:pStyle w:val="ListParagraph"/>
        <w:numPr>
          <w:ilvl w:val="0"/>
          <w:numId w:val="2"/>
        </w:numPr>
        <w:spacing w:after="40" w:before="40"/>
      </w:pPr>
      <w:r>
        <w:rPr>
          <w:rFonts w:ascii="Arial" w:cs="Arial" w:eastAsia="Arial" w:hAnsi="Arial"/>
          <w:color w:val="212121"/>
          <w:sz w:val="22"/>
          <w:szCs w:val="22"/>
        </w:rPr>
        <w:t xml:space="preserve">Eliminar la música ambiental o reducirla a ≤ 55 dB en horario estándar</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9.7 Sector gubernamental y de servicios públicos</w:t>
      </w:r>
    </w:p>
    <w:p>
      <w:pPr>
        <w:spacing w:after="60" w:before="60"/>
        <w:jc w:val="left"/>
      </w:pPr>
      <w:r>
        <w:rPr>
          <w:rFonts w:ascii="Arial" w:cs="Arial" w:eastAsia="Arial" w:hAnsi="Arial"/>
          <w:b w:val="false"/>
          <w:bCs w:val="false"/>
          <w:i w:val="false"/>
          <w:iCs w:val="false"/>
          <w:color w:val="212121"/>
          <w:sz w:val="22"/>
          <w:szCs w:val="22"/>
        </w:rPr>
        <w:t xml:space="preserve">Las instituciones públicas tienen una obligación reforzada en materia de neuroinclusión, dado el control de convencionalidad que aplica a toda actuación del Estado. Un servicio público que discrimina por condición neurológica incurre en responsabilidad institucional del Estado.</w:t>
      </w:r>
    </w:p>
    <w:p>
      <w:pPr>
        <w:spacing w:after="60" w:before="60"/>
        <w:jc w:val="left"/>
      </w:pPr>
      <w:r>
        <w:rPr>
          <w:rFonts w:ascii="Arial" w:cs="Arial" w:eastAsia="Arial" w:hAnsi="Arial"/>
          <w:b w:val="false"/>
          <w:bCs w:val="false"/>
          <w:i w:val="false"/>
          <w:iCs w:val="false"/>
          <w:color w:val="212121"/>
          <w:sz w:val="22"/>
          <w:szCs w:val="22"/>
        </w:rPr>
        <w:t xml:space="preserve">Acciones prioritarias para el sector gubernamental:</w:t>
      </w:r>
    </w:p>
    <w:p>
      <w:pPr>
        <w:pStyle w:val="ListParagraph"/>
        <w:numPr>
          <w:ilvl w:val="0"/>
          <w:numId w:val="3"/>
        </w:numPr>
        <w:spacing w:after="40" w:before="40"/>
      </w:pPr>
      <w:r>
        <w:rPr>
          <w:rFonts w:ascii="Arial" w:cs="Arial" w:eastAsia="Arial" w:hAnsi="Arial"/>
          <w:color w:val="212121"/>
          <w:sz w:val="22"/>
          <w:szCs w:val="22"/>
        </w:rPr>
        <w:t xml:space="preserve">Declarar todos los espacios de atención ciudadana como entornos CENI objetivo, con metas de certificación incluidas en el Plan de Trabajo Anual.</w:t>
      </w:r>
    </w:p>
    <w:p>
      <w:pPr>
        <w:pStyle w:val="ListParagraph"/>
        <w:numPr>
          <w:ilvl w:val="0"/>
          <w:numId w:val="3"/>
        </w:numPr>
        <w:spacing w:after="40" w:before="40"/>
      </w:pPr>
      <w:r>
        <w:rPr>
          <w:rFonts w:ascii="Arial" w:cs="Arial" w:eastAsia="Arial" w:hAnsi="Arial"/>
          <w:color w:val="212121"/>
          <w:sz w:val="22"/>
          <w:szCs w:val="22"/>
        </w:rPr>
        <w:t xml:space="preserve">Eliminar de todos los formularios, trámites y procesos los requisitos que exigen diagnóstico médico como condición de acceso a servicios de salud, educación o apoyos sociales.</w:t>
      </w:r>
    </w:p>
    <w:p>
      <w:pPr>
        <w:pStyle w:val="ListParagraph"/>
        <w:numPr>
          <w:ilvl w:val="0"/>
          <w:numId w:val="3"/>
        </w:numPr>
        <w:spacing w:after="40" w:before="40"/>
      </w:pPr>
      <w:r>
        <w:rPr>
          <w:rFonts w:ascii="Arial" w:cs="Arial" w:eastAsia="Arial" w:hAnsi="Arial"/>
          <w:color w:val="212121"/>
          <w:sz w:val="22"/>
          <w:szCs w:val="22"/>
        </w:rPr>
        <w:t xml:space="preserve">Implementar fichas de turno con notificación por mensaje y sistemas de espera alternativos en todas las ventanillas de atención.</w:t>
      </w:r>
    </w:p>
    <w:p>
      <w:pPr>
        <w:pStyle w:val="ListParagraph"/>
        <w:numPr>
          <w:ilvl w:val="0"/>
          <w:numId w:val="3"/>
        </w:numPr>
        <w:spacing w:after="40" w:before="40"/>
      </w:pPr>
      <w:r>
        <w:rPr>
          <w:rFonts w:ascii="Arial" w:cs="Arial" w:eastAsia="Arial" w:hAnsi="Arial"/>
          <w:color w:val="212121"/>
          <w:sz w:val="22"/>
          <w:szCs w:val="22"/>
        </w:rPr>
        <w:t xml:space="preserve">Capacitar al 100% del personal de atención ciudadana en el Módulo 2 (Comunicación Neuroafirmativa) del Curso CENI.</w:t>
      </w:r>
    </w:p>
    <w:p>
      <w:pPr>
        <w:pStyle w:val="ListParagraph"/>
        <w:numPr>
          <w:ilvl w:val="0"/>
          <w:numId w:val="3"/>
        </w:numPr>
        <w:spacing w:after="40" w:before="40"/>
      </w:pPr>
      <w:r>
        <w:rPr>
          <w:rFonts w:ascii="Arial" w:cs="Arial" w:eastAsia="Arial" w:hAnsi="Arial"/>
          <w:color w:val="212121"/>
          <w:sz w:val="22"/>
          <w:szCs w:val="22"/>
        </w:rPr>
        <w:t xml:space="preserve">Integrar el indicador de certificación CENI en los informes de gobierno y reportes de transparencia.</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9.8 Evaluación del módulo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r>
              <w:rPr>
                <w:rFonts w:ascii="Arial" w:cs="Arial" w:eastAsia="Arial" w:hAnsi="Arial"/>
                <w:b/>
                <w:bCs/>
                <w:color w:val="FFFFFF"/>
                <w:sz w:val="21"/>
                <w:szCs w:val="21"/>
              </w:rPr>
              <w:t xml:space="preserve">Componente de Evaluación</w:t>
            </w:r>
          </w:p>
        </w:tc>
        <w:tc>
          <w:tcPr>
            <w:tcW w:type="dxa" w:w="180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Tipo</w:t>
            </w:r>
          </w:p>
        </w:tc>
        <w:tc>
          <w:tcPr>
            <w:tcW w:type="dxa" w:w="180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Valor</w:t>
            </w:r>
          </w:p>
        </w:tc>
      </w:tr>
      <w:tr>
        <w:tc>
          <w:tcPr>
            <w:tcW w:type="dxa" w:w="576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r>
              <w:rPr>
                <w:rFonts w:ascii="Arial" w:cs="Arial" w:eastAsia="Arial" w:hAnsi="Arial"/>
                <w:color w:val="212121"/>
                <w:sz w:val="21"/>
                <w:szCs w:val="21"/>
              </w:rPr>
              <w:t xml:space="preserve">Plan de acción inmediata personalizado (primeros 30 días, 5 acciones SMART con fechas y responsables)</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color w:val="616161"/>
                <w:sz w:val="21"/>
                <w:szCs w:val="21"/>
              </w:rPr>
              <w:t xml:space="preserve">Práctica aplicada por perfil</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70%</w:t>
            </w:r>
          </w:p>
        </w:tc>
      </w:tr>
      <w:tr>
        <w:tc>
          <w:tcPr>
            <w:tcW w:type="dxa" w:w="57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212121"/>
                <w:sz w:val="21"/>
                <w:szCs w:val="21"/>
              </w:rPr>
              <w:t xml:space="preserve">Reflexión escrita sobre la barrera más frecuente en el propio sector (300 palabras)</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Arial" w:cs="Arial" w:eastAsia="Arial" w:hAnsi="Arial"/>
                <w:color w:val="616161"/>
                <w:sz w:val="21"/>
                <w:szCs w:val="21"/>
              </w:rPr>
              <w:t xml:space="preserve">Reflexiva</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30%</w:t>
            </w:r>
          </w:p>
        </w:tc>
      </w:tr>
    </w:tbl>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B0082" w:val="clear"/>
            <w:tcMar>
              <w:top w:type="dxa" w:w="160"/>
              <w:left w:type="dxa" w:w="240"/>
              <w:bottom w:type="dxa" w:w="60"/>
              <w:right w:type="dxa" w:w="240"/>
            </w:tcMar>
          </w:tcPr>
          <w:p>
            <w:pPr>
              <w:jc w:val="left"/>
            </w:pPr>
            <w:r>
              <w:rPr>
                <w:rFonts w:ascii="Arial" w:cs="Arial" w:eastAsia="Arial" w:hAnsi="Arial"/>
                <w:b/>
                <w:bCs/>
                <w:color w:val="B39DDB"/>
                <w:sz w:val="22"/>
                <w:szCs w:val="22"/>
              </w:rPr>
              <w:t xml:space="preserve">MÓDULO 10</w:t>
            </w:r>
          </w:p>
          <w:p>
            <w:pPr>
              <w:jc w:val="left"/>
            </w:pPr>
            <w:r>
              <w:rPr>
                <w:rFonts w:ascii="Arial" w:cs="Arial" w:eastAsia="Arial" w:hAnsi="Arial"/>
                <w:b/>
                <w:bCs/>
                <w:color w:val="FFFFFF"/>
                <w:sz w:val="36"/>
                <w:szCs w:val="36"/>
              </w:rPr>
              <w:t xml:space="preserve">PREPARACIÓN PARA LA CERTIFICACIÓN CENI</w:t>
            </w:r>
          </w:p>
        </w:tc>
      </w:tr>
      <w:tr>
        <w:tc>
          <w:tcPr>
            <w:tcBorders>
              <w:top w:val="none" w:color="FFFFFF" w:sz="0"/>
              <w:left w:val="none" w:color="FFFFFF" w:sz="0"/>
              <w:bottom w:val="none" w:color="FFFFFF" w:sz="0"/>
              <w:right w:val="none" w:color="FFFFFF" w:sz="0"/>
            </w:tcBorders>
            <w:shd w:fill="6A0DAD" w:val="clear"/>
            <w:tcMar>
              <w:top w:type="dxa" w:w="80"/>
              <w:left w:type="dxa" w:w="240"/>
              <w:bottom w:type="dxa" w:w="80"/>
              <w:right w:type="dxa" w:w="240"/>
            </w:tcMar>
          </w:tcPr>
          <w:p>
            <w:r>
              <w:rPr>
                <w:rFonts w:ascii="Arial" w:cs="Arial" w:eastAsia="Arial" w:hAnsi="Arial"/>
                <w:color w:val="FFFFFF"/>
                <w:sz w:val="20"/>
                <w:szCs w:val="20"/>
              </w:rPr>
              <w:t xml:space="preserve">Duración: 60 minutos   Dirigido a: Responsable de Neuroinclusión, propietarios, directivos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95C" w:sz="1"/>
              <w:left w:val="single" w:color="00695C" w:sz="1"/>
              <w:bottom w:val="single" w:color="00695C" w:sz="1"/>
              <w:right w:val="single" w:color="00695C" w:sz="1"/>
            </w:tcBorders>
            <w:shd w:fill="00695C" w:val="clear"/>
            <w:tcMar>
              <w:top w:type="dxa" w:w="80"/>
              <w:left w:type="dxa" w:w="160"/>
              <w:bottom w:type="dxa" w:w="80"/>
              <w:right w:type="dxa" w:w="160"/>
            </w:tcMar>
          </w:tcPr>
          <w:p>
            <w:r>
              <w:rPr>
                <w:rFonts w:ascii="Arial" w:cs="Arial" w:eastAsia="Arial" w:hAnsi="Arial"/>
                <w:b/>
                <w:bCs/>
                <w:color w:val="FFFFFF"/>
                <w:sz w:val="22"/>
                <w:szCs w:val="22"/>
              </w:rPr>
              <w:t xml:space="preserve">OBJETIVOS DEL MÓDULO</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Conocer el proceso completo de solicitud, evaluación y obtención de la certificación CENI.</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Organizar el expediente de evidencias de manera que cumpla los requisitos del auditor.</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Entender los plazos, costos, dictamen y renovación de la certificación.</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Preparar la organización para la visita de auditoría in situ.</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10.1 Proceso de certificación paso a paso</w:t>
      </w:r>
    </w:p>
    <w:p>
      <w:pPr>
        <w:spacing w:after="60" w:before="60"/>
        <w:jc w:val="left"/>
      </w:pPr>
      <w:r>
        <w:rPr>
          <w:rFonts w:ascii="Arial" w:cs="Arial" w:eastAsia="Arial" w:hAnsi="Arial"/>
          <w:b w:val="false"/>
          <w:bCs w:val="false"/>
          <w:i w:val="false"/>
          <w:iCs w:val="false"/>
          <w:color w:val="212121"/>
          <w:sz w:val="22"/>
          <w:szCs w:val="22"/>
        </w:rPr>
        <w:t xml:space="preserve">La certificación CENI sigue un proceso estándar de seis etapas: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Etapa 1 — Solicitud y Autoevaluación</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La organización completa el formulario en alianzaindigo.org/ceni, especifica la línea (Laboral, Espacios o ambas) y realiza la autoevaluación con la herramienta oficial. Acuse de recepción: máximo 5 días hábiles.</w:t>
            </w:r>
          </w:p>
        </w:tc>
      </w:tr>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Etapa 2 — Revisión Documental</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El Comité revisa políticas, programas y evidencias organizadas por dimensión y criterio. Inicio: máximo 10 días hábiles tras el acuse; resultado: máximo 15 días hábiles. Evidencias incompletas: 15 días hábiles para subsanar + prórroga única de 10.</w:t>
            </w:r>
          </w:p>
        </w:tc>
      </w:tr>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Etapa 3 — Programación de Auditoría</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Aprobada la revisión documental, la auditoría se programa en máximo 20 días hábiles. Equipo mínimo: Auditor Líder + Par Evaluador Neurodivergente (participación obligatoria; una auditoría sin persona neurodivergente es nula).</w:t>
            </w:r>
          </w:p>
        </w:tc>
      </w:tr>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Etapa 4 — Auditoría en Sitio</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Visita presencial o virtual de 1 a 3 días según tamaño: verificación de implementación real, mediciones instrumentales (sonómetro/luxómetro), entrevistas confidenciales y evaluación de mystery client (CENI Espacios). Informe del auditor al Comité: 10 días hábiles.</w:t>
            </w:r>
          </w:p>
        </w:tc>
      </w:tr>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Etapa 5 — Dictamen</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El Comité de Certificación califica las 6 dimensiones y emite el dictamen en máximo 15 días hábiles. Puede aceptar, modificar o rechazar la recomendación del auditor con justificación documentada.</w:t>
            </w:r>
          </w:p>
        </w:tc>
      </w:tr>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Etapa 6 — Certificación o Plan de Mejora</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Si aprueba: certificado con folio verificable en 5 días hábiles, sticker/logo con código QR y alta en el Registro Nacional de Organizaciones Certificadas CENI. Si no alcanza el mínimo: plan de mejora con 6 meses para re-auditoría (la primera sin costo). Plazo total máximo del proceso: 80 días hábiles.</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10.2 Checklist de cumplimiento pre-auditoría</w:t>
      </w:r>
    </w:p>
    <w:p>
      <w:pPr>
        <w:spacing w:after="60" w:before="60"/>
        <w:jc w:val="left"/>
      </w:pPr>
      <w:r>
        <w:rPr>
          <w:rFonts w:ascii="Arial" w:cs="Arial" w:eastAsia="Arial" w:hAnsi="Arial"/>
          <w:b w:val="false"/>
          <w:bCs w:val="false"/>
          <w:i w:val="false"/>
          <w:iCs w:val="false"/>
          <w:color w:val="212121"/>
          <w:sz w:val="22"/>
          <w:szCs w:val="22"/>
        </w:rPr>
        <w:t xml:space="preserve">Antes de solicitar la auditoría externa, el Responsable de Neuroinclusión debe verificar que la organización cumple con los siguientes requisitos mínimos:</w:t>
      </w:r>
    </w:p>
    <w:p>
      <w:pPr>
        <w:pStyle w:val="Heading3"/>
        <w:spacing w:after="120" w:before="240"/>
      </w:pPr>
      <w:r>
        <w:rPr>
          <w:rFonts w:ascii="Arial" w:cs="Arial" w:eastAsia="Arial" w:hAnsi="Arial"/>
          <w:b/>
          <w:bCs/>
          <w:color w:val="1565C0"/>
          <w:sz w:val="26"/>
          <w:szCs w:val="26"/>
        </w:rPr>
        <w:t xml:space="preserve">Documentación obligatoria</w:t>
      </w:r>
    </w:p>
    <w:p>
      <w:pPr>
        <w:pStyle w:val="ListParagraph"/>
        <w:numPr>
          <w:ilvl w:val="0"/>
          <w:numId w:val="2"/>
        </w:numPr>
        <w:spacing w:after="40" w:before="40"/>
      </w:pPr>
      <w:r>
        <w:rPr>
          <w:rFonts w:ascii="Arial" w:cs="Arial" w:eastAsia="Arial" w:hAnsi="Arial"/>
          <w:color w:val="212121"/>
          <w:sz w:val="22"/>
          <w:szCs w:val="22"/>
        </w:rPr>
        <w:t xml:space="preserve">RIN o MONE aprobado y vigente (con fecha de aprobación y firma de la dirección)</w:t>
      </w:r>
    </w:p>
    <w:p>
      <w:pPr>
        <w:pStyle w:val="ListParagraph"/>
        <w:numPr>
          <w:ilvl w:val="0"/>
          <w:numId w:val="2"/>
        </w:numPr>
        <w:spacing w:after="40" w:before="40"/>
      </w:pPr>
      <w:r>
        <w:rPr>
          <w:rFonts w:ascii="Arial" w:cs="Arial" w:eastAsia="Arial" w:hAnsi="Arial"/>
          <w:color w:val="212121"/>
          <w:sz w:val="22"/>
          <w:szCs w:val="22"/>
        </w:rPr>
        <w:t xml:space="preserve">Plan de Mejora Continua de Neuroinclusión vigente</w:t>
      </w:r>
    </w:p>
    <w:p>
      <w:pPr>
        <w:pStyle w:val="ListParagraph"/>
        <w:numPr>
          <w:ilvl w:val="0"/>
          <w:numId w:val="2"/>
        </w:numPr>
        <w:spacing w:after="40" w:before="40"/>
      </w:pPr>
      <w:r>
        <w:rPr>
          <w:rFonts w:ascii="Arial" w:cs="Arial" w:eastAsia="Arial" w:hAnsi="Arial"/>
          <w:color w:val="212121"/>
          <w:sz w:val="22"/>
          <w:szCs w:val="22"/>
        </w:rPr>
        <w:t xml:space="preserve">Registros de al menos dos auditorías internas</w:t>
      </w:r>
    </w:p>
    <w:p>
      <w:pPr>
        <w:pStyle w:val="ListParagraph"/>
        <w:numPr>
          <w:ilvl w:val="0"/>
          <w:numId w:val="2"/>
        </w:numPr>
        <w:spacing w:after="40" w:before="40"/>
      </w:pPr>
      <w:r>
        <w:rPr>
          <w:rFonts w:ascii="Arial" w:cs="Arial" w:eastAsia="Arial" w:hAnsi="Arial"/>
          <w:color w:val="212121"/>
          <w:sz w:val="22"/>
          <w:szCs w:val="22"/>
        </w:rPr>
        <w:t xml:space="preserve">Constancias de capacitación del 80% del personal de gestión</w:t>
      </w:r>
    </w:p>
    <w:p>
      <w:pPr>
        <w:pStyle w:val="ListParagraph"/>
        <w:numPr>
          <w:ilvl w:val="0"/>
          <w:numId w:val="2"/>
        </w:numPr>
        <w:spacing w:after="40" w:before="40"/>
      </w:pPr>
      <w:r>
        <w:rPr>
          <w:rFonts w:ascii="Arial" w:cs="Arial" w:eastAsia="Arial" w:hAnsi="Arial"/>
          <w:color w:val="212121"/>
          <w:sz w:val="22"/>
          <w:szCs w:val="22"/>
        </w:rPr>
        <w:t xml:space="preserve">Registro de Incidentes Sensoriales (aunque esté vacío, acredita que el sistema está implementado)</w:t>
      </w:r>
    </w:p>
    <w:p>
      <w:pPr>
        <w:pStyle w:val="ListParagraph"/>
        <w:numPr>
          <w:ilvl w:val="0"/>
          <w:numId w:val="2"/>
        </w:numPr>
        <w:spacing w:after="40" w:before="40"/>
      </w:pPr>
      <w:r>
        <w:rPr>
          <w:rFonts w:ascii="Arial" w:cs="Arial" w:eastAsia="Arial" w:hAnsi="Arial"/>
          <w:color w:val="212121"/>
          <w:sz w:val="22"/>
          <w:szCs w:val="22"/>
        </w:rPr>
        <w:t xml:space="preserve">Canal de retroalimentación activo con al menos un registro documentado de uso</w:t>
      </w:r>
    </w:p>
    <w:p>
      <w:pPr>
        <w:pStyle w:val="Heading3"/>
        <w:spacing w:after="120" w:before="240"/>
      </w:pPr>
      <w:r>
        <w:rPr>
          <w:rFonts w:ascii="Arial" w:cs="Arial" w:eastAsia="Arial" w:hAnsi="Arial"/>
          <w:b/>
          <w:bCs/>
          <w:color w:val="1565C0"/>
          <w:sz w:val="26"/>
          <w:szCs w:val="26"/>
        </w:rPr>
        <w:t xml:space="preserve">Condiciones físicas verificables</w:t>
      </w:r>
    </w:p>
    <w:p>
      <w:pPr>
        <w:pStyle w:val="ListParagraph"/>
        <w:numPr>
          <w:ilvl w:val="0"/>
          <w:numId w:val="2"/>
        </w:numPr>
        <w:spacing w:after="40" w:before="40"/>
      </w:pPr>
      <w:r>
        <w:rPr>
          <w:rFonts w:ascii="Arial" w:cs="Arial" w:eastAsia="Arial" w:hAnsi="Arial"/>
          <w:color w:val="212121"/>
          <w:sz w:val="22"/>
          <w:szCs w:val="22"/>
        </w:rPr>
        <w:t xml:space="preserve">Espacio de calma implementado y señalizado</w:t>
      </w:r>
    </w:p>
    <w:p>
      <w:pPr>
        <w:pStyle w:val="ListParagraph"/>
        <w:numPr>
          <w:ilvl w:val="0"/>
          <w:numId w:val="2"/>
        </w:numPr>
        <w:spacing w:after="40" w:before="40"/>
      </w:pPr>
      <w:r>
        <w:rPr>
          <w:rFonts w:ascii="Arial" w:cs="Arial" w:eastAsia="Arial" w:hAnsi="Arial"/>
          <w:color w:val="212121"/>
          <w:sz w:val="22"/>
          <w:szCs w:val="22"/>
        </w:rPr>
        <w:t xml:space="preserve">Mediciones de ruido e iluminación documentadas (últimos 6 meses)</w:t>
      </w:r>
    </w:p>
    <w:p>
      <w:pPr>
        <w:pStyle w:val="ListParagraph"/>
        <w:numPr>
          <w:ilvl w:val="0"/>
          <w:numId w:val="2"/>
        </w:numPr>
        <w:spacing w:after="40" w:before="40"/>
      </w:pPr>
      <w:r>
        <w:rPr>
          <w:rFonts w:ascii="Arial" w:cs="Arial" w:eastAsia="Arial" w:hAnsi="Arial"/>
          <w:color w:val="212121"/>
          <w:sz w:val="22"/>
          <w:szCs w:val="22"/>
        </w:rPr>
        <w:t xml:space="preserve">Mapa sensorial publicado en entrada y disponible en formato digital</w:t>
      </w:r>
    </w:p>
    <w:p>
      <w:pPr>
        <w:pStyle w:val="ListParagraph"/>
        <w:numPr>
          <w:ilvl w:val="0"/>
          <w:numId w:val="2"/>
        </w:numPr>
        <w:spacing w:after="40" w:before="40"/>
      </w:pPr>
      <w:r>
        <w:rPr>
          <w:rFonts w:ascii="Arial" w:cs="Arial" w:eastAsia="Arial" w:hAnsi="Arial"/>
          <w:color w:val="212121"/>
          <w:sz w:val="22"/>
          <w:szCs w:val="22"/>
        </w:rPr>
        <w:t xml:space="preserve">Señalización con pictogramas en zonas principales</w:t>
      </w:r>
    </w:p>
    <w:p>
      <w:pPr>
        <w:pStyle w:val="ListParagraph"/>
        <w:numPr>
          <w:ilvl w:val="0"/>
          <w:numId w:val="2"/>
        </w:numPr>
        <w:spacing w:after="40" w:before="40"/>
      </w:pPr>
      <w:r>
        <w:rPr>
          <w:rFonts w:ascii="Arial" w:cs="Arial" w:eastAsia="Arial" w:hAnsi="Arial"/>
          <w:color w:val="212121"/>
          <w:sz w:val="22"/>
          <w:szCs w:val="22"/>
        </w:rPr>
        <w:t xml:space="preserve">Kit sensorial disponible (documentado con fotografías)</w:t>
      </w:r>
    </w:p>
    <w:p>
      <w:pPr>
        <w:pStyle w:val="Heading3"/>
        <w:spacing w:after="120" w:before="240"/>
      </w:pPr>
      <w:r>
        <w:rPr>
          <w:rFonts w:ascii="Arial" w:cs="Arial" w:eastAsia="Arial" w:hAnsi="Arial"/>
          <w:b/>
          <w:bCs/>
          <w:color w:val="1565C0"/>
          <w:sz w:val="26"/>
          <w:szCs w:val="26"/>
        </w:rPr>
        <w:t xml:space="preserve">Condiciones de accesibilidad</w:t>
      </w:r>
    </w:p>
    <w:p>
      <w:pPr>
        <w:pStyle w:val="ListParagraph"/>
        <w:numPr>
          <w:ilvl w:val="0"/>
          <w:numId w:val="2"/>
        </w:numPr>
        <w:spacing w:after="40" w:before="40"/>
      </w:pPr>
      <w:r>
        <w:rPr>
          <w:rFonts w:ascii="Arial" w:cs="Arial" w:eastAsia="Arial" w:hAnsi="Arial"/>
          <w:color w:val="212121"/>
          <w:sz w:val="22"/>
          <w:szCs w:val="22"/>
        </w:rPr>
        <w:t xml:space="preserve">Tablero de comunicación o SAAC en punto de atención</w:t>
      </w:r>
    </w:p>
    <w:p>
      <w:pPr>
        <w:pStyle w:val="ListParagraph"/>
        <w:numPr>
          <w:ilvl w:val="0"/>
          <w:numId w:val="2"/>
        </w:numPr>
        <w:spacing w:after="40" w:before="40"/>
      </w:pPr>
      <w:r>
        <w:rPr>
          <w:rFonts w:ascii="Arial" w:cs="Arial" w:eastAsia="Arial" w:hAnsi="Arial"/>
          <w:color w:val="212121"/>
          <w:sz w:val="22"/>
          <w:szCs w:val="22"/>
        </w:rPr>
        <w:t xml:space="preserve">Versión de Lectura Fácil de al menos un documento de uso público frecuente</w:t>
      </w:r>
    </w:p>
    <w:p>
      <w:pPr>
        <w:pStyle w:val="ListParagraph"/>
        <w:numPr>
          <w:ilvl w:val="0"/>
          <w:numId w:val="2"/>
        </w:numPr>
        <w:spacing w:after="40" w:before="40"/>
      </w:pPr>
      <w:r>
        <w:rPr>
          <w:rFonts w:ascii="Arial" w:cs="Arial" w:eastAsia="Arial" w:hAnsi="Arial"/>
          <w:color w:val="212121"/>
          <w:sz w:val="22"/>
          <w:szCs w:val="22"/>
        </w:rPr>
        <w:t xml:space="preserve">Canal de atención escrita disponible y señalizado</w:t>
      </w:r>
    </w:p>
    <w:p>
      <w:pPr>
        <w:pStyle w:val="Heading3"/>
        <w:spacing w:after="120" w:before="240"/>
      </w:pPr>
      <w:r>
        <w:rPr>
          <w:rFonts w:ascii="Arial" w:cs="Arial" w:eastAsia="Arial" w:hAnsi="Arial"/>
          <w:b/>
          <w:bCs/>
          <w:color w:val="1565C0"/>
          <w:sz w:val="26"/>
          <w:szCs w:val="26"/>
        </w:rPr>
        <w:t xml:space="preserve">Cumplimiento NOM-035 (obligatorio, se integra al mismo expediente)</w:t>
      </w:r>
    </w:p>
    <w:p>
      <w:pPr>
        <w:spacing w:after="60" w:before="60"/>
        <w:jc w:val="left"/>
      </w:pPr>
      <w:r>
        <w:rPr>
          <w:rFonts w:ascii="Arial" w:cs="Arial" w:eastAsia="Arial" w:hAnsi="Arial"/>
          <w:b w:val="false"/>
          <w:bCs w:val="false"/>
          <w:i w:val="false"/>
          <w:iCs w:val="false"/>
          <w:color w:val="212121"/>
          <w:sz w:val="22"/>
          <w:szCs w:val="22"/>
        </w:rPr>
        <w:t xml:space="preserve">Verifica lo que corresponde a la organización según su número de trabajadores (ver Módulo 5.5–5.12):</w:t>
      </w:r>
    </w:p>
    <w:p>
      <w:pPr>
        <w:pStyle w:val="ListParagraph"/>
        <w:numPr>
          <w:ilvl w:val="0"/>
          <w:numId w:val="2"/>
        </w:numPr>
        <w:spacing w:after="40" w:before="40"/>
      </w:pPr>
      <w:r>
        <w:rPr>
          <w:rFonts w:ascii="Arial" w:cs="Arial" w:eastAsia="Arial" w:hAnsi="Arial"/>
          <w:color w:val="212121"/>
          <w:sz w:val="22"/>
          <w:szCs w:val="22"/>
        </w:rPr>
        <w:t xml:space="preserve">Política de prevención de riesgos psicosociales por escrito, implantada y difundida (todos los tamaños; puede ser el propio RIN).</w:t>
      </w:r>
    </w:p>
    <w:p>
      <w:pPr>
        <w:pStyle w:val="ListParagraph"/>
        <w:numPr>
          <w:ilvl w:val="0"/>
          <w:numId w:val="2"/>
        </w:numPr>
        <w:spacing w:after="40" w:before="40"/>
      </w:pPr>
      <w:r>
        <w:rPr>
          <w:rFonts w:ascii="Arial" w:cs="Arial" w:eastAsia="Arial" w:hAnsi="Arial"/>
          <w:color w:val="212121"/>
          <w:sz w:val="22"/>
          <w:szCs w:val="22"/>
        </w:rPr>
        <w:t xml:space="preserve">Evidencia de difusión de la información a los trabajadores (folletos, boletines o carteles).</w:t>
      </w:r>
    </w:p>
    <w:p>
      <w:pPr>
        <w:pStyle w:val="ListParagraph"/>
        <w:numPr>
          <w:ilvl w:val="0"/>
          <w:numId w:val="2"/>
        </w:numPr>
        <w:spacing w:after="40" w:before="40"/>
      </w:pPr>
      <w:r>
        <w:rPr>
          <w:rFonts w:ascii="Arial" w:cs="Arial" w:eastAsia="Arial" w:hAnsi="Arial"/>
          <w:color w:val="212121"/>
          <w:sz w:val="22"/>
          <w:szCs w:val="22"/>
        </w:rPr>
        <w:t xml:space="preserve">Guía I aplicada y mecanismo de canalización a atención médica o psicológica (todos los tamaños).</w:t>
      </w:r>
    </w:p>
    <w:p>
      <w:pPr>
        <w:pStyle w:val="ListParagraph"/>
        <w:numPr>
          <w:ilvl w:val="0"/>
          <w:numId w:val="2"/>
        </w:numPr>
        <w:spacing w:after="40" w:before="40"/>
      </w:pPr>
      <w:r>
        <w:rPr>
          <w:rFonts w:ascii="Arial" w:cs="Arial" w:eastAsia="Arial" w:hAnsi="Arial"/>
          <w:color w:val="212121"/>
          <w:sz w:val="22"/>
          <w:szCs w:val="22"/>
        </w:rPr>
        <w:t xml:space="preserve">Identificación y análisis de los factores de riesgo psicosocial vigente, con antigüedad no mayor a dos años (16+ trabajadores).</w:t>
      </w:r>
    </w:p>
    <w:p>
      <w:pPr>
        <w:pStyle w:val="ListParagraph"/>
        <w:numPr>
          <w:ilvl w:val="0"/>
          <w:numId w:val="2"/>
        </w:numPr>
        <w:spacing w:after="40" w:before="40"/>
      </w:pPr>
      <w:r>
        <w:rPr>
          <w:rFonts w:ascii="Arial" w:cs="Arial" w:eastAsia="Arial" w:hAnsi="Arial"/>
          <w:color w:val="212121"/>
          <w:sz w:val="22"/>
          <w:szCs w:val="22"/>
        </w:rPr>
        <w:t xml:space="preserve">Evaluación del entorno organizacional (más de 50 trabajadores).</w:t>
      </w:r>
    </w:p>
    <w:p>
      <w:pPr>
        <w:pStyle w:val="ListParagraph"/>
        <w:numPr>
          <w:ilvl w:val="0"/>
          <w:numId w:val="2"/>
        </w:numPr>
        <w:spacing w:after="40" w:before="40"/>
      </w:pPr>
      <w:r>
        <w:rPr>
          <w:rFonts w:ascii="Arial" w:cs="Arial" w:eastAsia="Arial" w:hAnsi="Arial"/>
          <w:color w:val="212121"/>
          <w:sz w:val="22"/>
          <w:szCs w:val="22"/>
        </w:rPr>
        <w:t xml:space="preserve">Informe de resultados (numeral 7.7) disponible para consulta y con confidencialidad de los datos individuales.</w:t>
      </w:r>
    </w:p>
    <w:p>
      <w:pPr>
        <w:pStyle w:val="ListParagraph"/>
        <w:numPr>
          <w:ilvl w:val="0"/>
          <w:numId w:val="2"/>
        </w:numPr>
        <w:spacing w:after="40" w:before="40"/>
      </w:pPr>
      <w:r>
        <w:rPr>
          <w:rFonts w:ascii="Arial" w:cs="Arial" w:eastAsia="Arial" w:hAnsi="Arial"/>
          <w:color w:val="212121"/>
          <w:sz w:val="22"/>
          <w:szCs w:val="22"/>
        </w:rPr>
        <w:t xml:space="preserve">Programa de intervención documentado si el nivel de riesgo resultó medio, alto o muy alto.</w:t>
      </w:r>
    </w:p>
    <w:p>
      <w:pPr>
        <w:pStyle w:val="ListParagraph"/>
        <w:numPr>
          <w:ilvl w:val="0"/>
          <w:numId w:val="2"/>
        </w:numPr>
        <w:spacing w:after="40" w:before="40"/>
      </w:pPr>
      <w:r>
        <w:rPr>
          <w:rFonts w:ascii="Arial" w:cs="Arial" w:eastAsia="Arial" w:hAnsi="Arial"/>
          <w:color w:val="212121"/>
          <w:sz w:val="22"/>
          <w:szCs w:val="22"/>
        </w:rPr>
        <w:t xml:space="preserve">Mecanismo seguro y confidencial de recepción de quejas por violencia laboral.</w:t>
      </w:r>
    </w:p>
    <w:p>
      <w:pPr>
        <w:pStyle w:val="ListParagraph"/>
        <w:numPr>
          <w:ilvl w:val="0"/>
          <w:numId w:val="2"/>
        </w:numPr>
        <w:spacing w:after="40" w:before="40"/>
      </w:pPr>
      <w:r>
        <w:rPr>
          <w:rFonts w:ascii="Arial" w:cs="Arial" w:eastAsia="Arial" w:hAnsi="Arial"/>
          <w:color w:val="212121"/>
          <w:sz w:val="22"/>
          <w:szCs w:val="22"/>
        </w:rPr>
        <w:t xml:space="preserve">Registros del numeral 5.8 (resultados, medidas de control y personal con exposición comprobada).</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10.3 Organización del expediente de evidencias</w:t>
      </w:r>
    </w:p>
    <w:p>
      <w:pPr>
        <w:spacing w:after="60" w:before="60"/>
        <w:jc w:val="left"/>
      </w:pPr>
      <w:r>
        <w:rPr>
          <w:rFonts w:ascii="Arial" w:cs="Arial" w:eastAsia="Arial" w:hAnsi="Arial"/>
          <w:b w:val="false"/>
          <w:bCs w:val="false"/>
          <w:i w:val="false"/>
          <w:iCs w:val="false"/>
          <w:color w:val="212121"/>
          <w:sz w:val="22"/>
          <w:szCs w:val="22"/>
        </w:rPr>
        <w:t xml:space="preserve">El expediente debe organizarse siguiendo la estructura oficial CENI: una carpeta por dimensión, una subcarpeta por criterio, con los archivos nombrados como: [LÍNEA]-[DIMENSIÓN]-[CRITERIO]-[NOMBRE_CORTO]. Ejemplo: LABORAL-D1-C2-PROTOCOLO_SELECCION.pdf</w:t>
      </w:r>
    </w:p>
    <w:p>
      <w:pPr>
        <w:spacing w:after="60" w:before="60"/>
        <w:jc w:val="left"/>
      </w:pPr>
      <w:r>
        <w:rPr>
          <w:rFonts w:ascii="Arial" w:cs="Arial" w:eastAsia="Arial" w:hAnsi="Arial"/>
          <w:b w:val="false"/>
          <w:bCs w:val="false"/>
          <w:i w:val="false"/>
          <w:iCs w:val="false"/>
          <w:color w:val="212121"/>
          <w:sz w:val="22"/>
          <w:szCs w:val="22"/>
        </w:rPr>
        <w:t xml:space="preserve">Tipos de evidencia aceptados:</w:t>
      </w:r>
    </w:p>
    <w:p>
      <w:pPr>
        <w:pStyle w:val="ListParagraph"/>
        <w:numPr>
          <w:ilvl w:val="0"/>
          <w:numId w:val="2"/>
        </w:numPr>
        <w:spacing w:after="40" w:before="40"/>
      </w:pPr>
      <w:r>
        <w:rPr>
          <w:rFonts w:ascii="Arial" w:cs="Arial" w:eastAsia="Arial" w:hAnsi="Arial"/>
          <w:color w:val="212121"/>
          <w:sz w:val="22"/>
          <w:szCs w:val="22"/>
        </w:rPr>
        <w:t xml:space="preserve">Documentos PDF: protocolos, políticas, reglamentos, registros, informes</w:t>
      </w:r>
    </w:p>
    <w:p>
      <w:pPr>
        <w:pStyle w:val="ListParagraph"/>
        <w:numPr>
          <w:ilvl w:val="0"/>
          <w:numId w:val="2"/>
        </w:numPr>
        <w:spacing w:after="40" w:before="40"/>
      </w:pPr>
      <w:r>
        <w:rPr>
          <w:rFonts w:ascii="Arial" w:cs="Arial" w:eastAsia="Arial" w:hAnsi="Arial"/>
          <w:color w:val="212121"/>
          <w:sz w:val="22"/>
          <w:szCs w:val="22"/>
        </w:rPr>
        <w:t xml:space="preserve">Fotografías en alta resolución: espacios físicos, señalización, recursos, materiales</w:t>
      </w:r>
    </w:p>
    <w:p>
      <w:pPr>
        <w:pStyle w:val="ListParagraph"/>
        <w:numPr>
          <w:ilvl w:val="0"/>
          <w:numId w:val="2"/>
        </w:numPr>
        <w:spacing w:after="40" w:before="40"/>
      </w:pPr>
      <w:r>
        <w:rPr>
          <w:rFonts w:ascii="Arial" w:cs="Arial" w:eastAsia="Arial" w:hAnsi="Arial"/>
          <w:color w:val="212121"/>
          <w:sz w:val="22"/>
          <w:szCs w:val="22"/>
        </w:rPr>
        <w:t xml:space="preserve">Registros de medición: lecturas de sonómetro y luxómetro con fecha, hora e instrumento</w:t>
      </w:r>
    </w:p>
    <w:p>
      <w:pPr>
        <w:pStyle w:val="ListParagraph"/>
        <w:numPr>
          <w:ilvl w:val="0"/>
          <w:numId w:val="2"/>
        </w:numPr>
        <w:spacing w:after="40" w:before="40"/>
      </w:pPr>
      <w:r>
        <w:rPr>
          <w:rFonts w:ascii="Arial" w:cs="Arial" w:eastAsia="Arial" w:hAnsi="Arial"/>
          <w:color w:val="212121"/>
          <w:sz w:val="22"/>
          <w:szCs w:val="22"/>
        </w:rPr>
        <w:t xml:space="preserve">Constancias y diplomas: capacitación del personal</w:t>
      </w:r>
    </w:p>
    <w:p>
      <w:pPr>
        <w:pStyle w:val="ListParagraph"/>
        <w:numPr>
          <w:ilvl w:val="0"/>
          <w:numId w:val="2"/>
        </w:numPr>
        <w:spacing w:after="40" w:before="40"/>
      </w:pPr>
      <w:r>
        <w:rPr>
          <w:rFonts w:ascii="Arial" w:cs="Arial" w:eastAsia="Arial" w:hAnsi="Arial"/>
          <w:color w:val="212121"/>
          <w:sz w:val="22"/>
          <w:szCs w:val="22"/>
        </w:rPr>
        <w:t xml:space="preserve">Capturas de pantalla: canales digitales de retroalimentación, SAAC digital, formatos web</w:t>
      </w:r>
    </w:p>
    <w:p>
      <w:pPr>
        <w:pStyle w:val="ListParagraph"/>
        <w:numPr>
          <w:ilvl w:val="0"/>
          <w:numId w:val="2"/>
        </w:numPr>
        <w:spacing w:after="40" w:before="40"/>
      </w:pPr>
      <w:r>
        <w:rPr>
          <w:rFonts w:ascii="Arial" w:cs="Arial" w:eastAsia="Arial" w:hAnsi="Arial"/>
          <w:color w:val="212121"/>
          <w:sz w:val="22"/>
          <w:szCs w:val="22"/>
        </w:rPr>
        <w:t xml:space="preserve">Videos cortos (máximo 3 minutos): demonstración de espacios, materiales o protocolos</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10.4 Renovación de la certificación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Bronce (1 año)</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Renovación anual mediante auditoría de renovación (costo: 70% de la certificación inicial). Se evalúan las 6 dimensiones completas con énfasis en la mejora continua; la organización puede mantener o subir de nivel.</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Plata (2 años)</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Renovación cada 2 años en los mismos términos (70% del costo inicial). La auditoría de renovación puede confirmar, subir o bajar el nivel según los resultados.</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Oro (3 años)</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Renovación cada 3 años con auditoría de renovación completa (70% del costo inicial) y evidencia de mejora continua sostenida desde la última certificación.</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10.5 Evaluación del módulo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r>
              <w:rPr>
                <w:rFonts w:ascii="Arial" w:cs="Arial" w:eastAsia="Arial" w:hAnsi="Arial"/>
                <w:b/>
                <w:bCs/>
                <w:color w:val="FFFFFF"/>
                <w:sz w:val="21"/>
                <w:szCs w:val="21"/>
              </w:rPr>
              <w:t xml:space="preserve">Componente de Evaluación</w:t>
            </w:r>
          </w:p>
        </w:tc>
        <w:tc>
          <w:tcPr>
            <w:tcW w:type="dxa" w:w="180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Tipo</w:t>
            </w:r>
          </w:p>
        </w:tc>
        <w:tc>
          <w:tcPr>
            <w:tcW w:type="dxa" w:w="180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Valor</w:t>
            </w:r>
          </w:p>
        </w:tc>
      </w:tr>
      <w:tr>
        <w:tc>
          <w:tcPr>
            <w:tcW w:type="dxa" w:w="576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r>
              <w:rPr>
                <w:rFonts w:ascii="Arial" w:cs="Arial" w:eastAsia="Arial" w:hAnsi="Arial"/>
                <w:color w:val="212121"/>
                <w:sz w:val="21"/>
                <w:szCs w:val="21"/>
              </w:rPr>
              <w:t xml:space="preserve">Quiz de 10 preguntas sobre el proceso de certificación</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color w:val="616161"/>
                <w:sz w:val="21"/>
                <w:szCs w:val="21"/>
              </w:rPr>
              <w:t xml:space="preserve">Opción múltiple</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30%</w:t>
            </w:r>
          </w:p>
        </w:tc>
      </w:tr>
      <w:tr>
        <w:tc>
          <w:tcPr>
            <w:tcW w:type="dxa" w:w="57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212121"/>
                <w:sz w:val="21"/>
                <w:szCs w:val="21"/>
              </w:rPr>
              <w:t xml:space="preserve">Checklist de cumplimiento completado para la organización propia</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Arial" w:cs="Arial" w:eastAsia="Arial" w:hAnsi="Arial"/>
                <w:color w:val="616161"/>
                <w:sz w:val="21"/>
                <w:szCs w:val="21"/>
              </w:rPr>
              <w:t xml:space="preserve">Práctica aplicada</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40%</w:t>
            </w:r>
          </w:p>
        </w:tc>
      </w:tr>
      <w:tr>
        <w:tc>
          <w:tcPr>
            <w:tcW w:type="dxa" w:w="576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r>
              <w:rPr>
                <w:rFonts w:ascii="Arial" w:cs="Arial" w:eastAsia="Arial" w:hAnsi="Arial"/>
                <w:color w:val="212121"/>
                <w:sz w:val="21"/>
                <w:szCs w:val="21"/>
              </w:rPr>
              <w:t xml:space="preserve">Simulacro de organización de expediente con evidencias de muestra</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color w:val="616161"/>
                <w:sz w:val="21"/>
                <w:szCs w:val="21"/>
              </w:rPr>
              <w:t xml:space="preserve">Práctica documental</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30%</w:t>
            </w:r>
          </w:p>
        </w:tc>
      </w:tr>
    </w:tbl>
    <w:p>
      <w:pPr>
        <w:pageBreakBefore/>
      </w:pPr>
      <w:r>
        <w:br/>
      </w:r>
    </w:p>
    <w:p>
      <w:pPr>
        <w:pStyle w:val="Heading1"/>
        <w:pBdr>
          <w:bottom w:val="single" w:color="6A0DAD" w:sz="8" w:space="1"/>
        </w:pBdr>
        <w:spacing w:after="240" w:before="480"/>
      </w:pPr>
      <w:r>
        <w:rPr>
          <w:rFonts w:ascii="Arial" w:cs="Arial" w:eastAsia="Arial" w:hAnsi="Arial"/>
          <w:b/>
          <w:bCs/>
          <w:color w:val="4B0082"/>
          <w:sz w:val="40"/>
          <w:szCs w:val="40"/>
        </w:rPr>
        <w:t xml:space="preserve">MATERIALES DEL CURSO</w:t>
      </w:r>
    </w:p>
    <w:p>
      <w:pPr>
        <w:pStyle w:val="Heading2"/>
        <w:spacing w:after="180" w:before="360"/>
      </w:pPr>
      <w:r>
        <w:rPr>
          <w:rFonts w:ascii="Arial" w:cs="Arial" w:eastAsia="Arial" w:hAnsi="Arial"/>
          <w:b/>
          <w:bCs/>
          <w:color w:val="6A0DAD"/>
          <w:sz w:val="32"/>
          <w:szCs w:val="32"/>
        </w:rPr>
        <w:t xml:space="preserve">ANEXO A — Historias Sociales Neuroafirmativas</w:t>
      </w:r>
    </w:p>
    <w:p>
      <w:pPr>
        <w:spacing w:after="60" w:before="60"/>
        <w:jc w:val="left"/>
      </w:pPr>
      <w:r>
        <w:rPr>
          <w:rFonts w:ascii="Arial" w:cs="Arial" w:eastAsia="Arial" w:hAnsi="Arial"/>
          <w:b w:val="false"/>
          <w:bCs w:val="false"/>
          <w:i w:val="false"/>
          <w:iCs w:val="false"/>
          <w:color w:val="212121"/>
          <w:sz w:val="22"/>
          <w:szCs w:val="22"/>
        </w:rPr>
        <w:t xml:space="preserve">Las historias sociales son textos breves que describen situaciones sociales o procedimientos de manera concreta y predecible. Son una herramienta de comunicación neuroafirmativa ampliamente utilizada. Los siguientes son ejemplos listos para usar y adaptar.</w:t>
      </w:r>
    </w:p>
    <w:p>
      <w:pPr>
        <w:spacing w:after="120" w:before="0"/>
      </w:pPr>
      <w:r>
        <w:t xml:space="preserve"/>
      </w:r>
    </w:p>
    <w:p>
      <w:pPr>
        <w:pStyle w:val="Heading3"/>
        <w:spacing w:after="120" w:before="240"/>
      </w:pPr>
      <w:r>
        <w:rPr>
          <w:rFonts w:ascii="Arial" w:cs="Arial" w:eastAsia="Arial" w:hAnsi="Arial"/>
          <w:b/>
          <w:bCs/>
          <w:color w:val="1565C0"/>
          <w:sz w:val="26"/>
          <w:szCs w:val="26"/>
        </w:rPr>
        <w:t xml:space="preserve">Historia Social 1 — "El espacio de calma en mi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95C" w:sz="1"/>
              <w:left w:val="single" w:color="00695C" w:sz="1"/>
              <w:bottom w:val="single" w:color="00695C" w:sz="1"/>
              <w:right w:val="single" w:color="00695C" w:sz="1"/>
            </w:tcBorders>
            <w:shd w:fill="00695C" w:val="clear"/>
            <w:tcMar>
              <w:top w:type="dxa" w:w="100"/>
              <w:left w:type="dxa" w:w="160"/>
              <w:bottom w:type="dxa" w:w="100"/>
              <w:right w:type="dxa" w:w="160"/>
            </w:tcMar>
          </w:tcPr>
          <w:p>
            <w:pPr>
              <w:jc w:val="left"/>
            </w:pPr>
            <w:r>
              <w:rPr>
                <w:rFonts w:ascii="Arial" w:cs="Arial" w:eastAsia="Arial" w:hAnsi="Arial"/>
                <w:b/>
                <w:bCs/>
                <w:color w:val="FFFFFF"/>
                <w:sz w:val="24"/>
                <w:szCs w:val="24"/>
              </w:rPr>
              <w:t xml:space="preserve">Historia Social — El espacio de calma</w:t>
            </w:r>
          </w:p>
        </w:tc>
      </w:tr>
      <w:tr>
        <w:tc>
          <w:tcPr>
            <w:tcBorders>
              <w:top w:val="single" w:color="00695C" w:sz="1"/>
              <w:left w:val="single" w:color="00695C" w:sz="1"/>
              <w:bottom w:val="single" w:color="00695C" w:sz="1"/>
              <w:right w:val="single" w:color="00695C" w:sz="1"/>
            </w:tcBorders>
            <w:shd w:fill="E0F2F1" w:val="clear"/>
            <w:tcMar>
              <w:top w:type="dxa" w:w="80"/>
              <w:left w:type="dxa" w:w="160"/>
              <w:bottom w:type="dxa" w:w="80"/>
              <w:right w:type="dxa" w:w="160"/>
            </w:tcMar>
          </w:tcPr>
          <w:p>
            <w:r>
              <w:rPr>
                <w:rFonts w:ascii="Arial" w:cs="Arial" w:eastAsia="Arial" w:hAnsi="Arial"/>
                <w:color w:val="212121"/>
                <w:sz w:val="22"/>
                <w:szCs w:val="22"/>
              </w:rPr>
              <w:t xml:space="preserve">En mi trabajo hay un espacio de calma.</w:t>
            </w:r>
          </w:p>
        </w:tc>
      </w:tr>
      <w:tr>
        <w:tc>
          <w:tcPr>
            <w:tcBorders>
              <w:top w:val="single" w:color="00695C" w:sz="1"/>
              <w:left w:val="single" w:color="00695C" w:sz="1"/>
              <w:bottom w:val="single" w:color="00695C" w:sz="1"/>
              <w:right w:val="single" w:color="00695C" w:sz="1"/>
            </w:tcBorders>
            <w:shd w:fill="E0F2F1" w:val="clear"/>
            <w:tcMar>
              <w:top w:type="dxa" w:w="80"/>
              <w:left w:type="dxa" w:w="160"/>
              <w:bottom w:type="dxa" w:w="80"/>
              <w:right w:type="dxa" w:w="160"/>
            </w:tcMar>
          </w:tcPr>
          <w:p>
            <w:r>
              <w:rPr>
                <w:rFonts w:ascii="Arial" w:cs="Arial" w:eastAsia="Arial" w:hAnsi="Arial"/>
                <w:color w:val="212121"/>
                <w:sz w:val="22"/>
                <w:szCs w:val="22"/>
              </w:rPr>
              <w:t xml:space="preserve">El espacio de calma es una habitación tranquila.</w:t>
            </w:r>
          </w:p>
        </w:tc>
      </w:tr>
      <w:tr>
        <w:tc>
          <w:tcPr>
            <w:tcBorders>
              <w:top w:val="single" w:color="00695C" w:sz="1"/>
              <w:left w:val="single" w:color="00695C" w:sz="1"/>
              <w:bottom w:val="single" w:color="00695C" w:sz="1"/>
              <w:right w:val="single" w:color="00695C" w:sz="1"/>
            </w:tcBorders>
            <w:shd w:fill="E0F2F1" w:val="clear"/>
            <w:tcMar>
              <w:top w:type="dxa" w:w="80"/>
              <w:left w:type="dxa" w:w="160"/>
              <w:bottom w:type="dxa" w:w="80"/>
              <w:right w:type="dxa" w:w="160"/>
            </w:tcMar>
          </w:tcPr>
          <w:p>
            <w:r>
              <w:rPr>
                <w:rFonts w:ascii="Arial" w:cs="Arial" w:eastAsia="Arial" w:hAnsi="Arial"/>
                <w:color w:val="212121"/>
                <w:sz w:val="22"/>
                <w:szCs w:val="22"/>
              </w:rPr>
              <w:t xml:space="preserve">La luz es suave y el ruido es muy bajo.</w:t>
            </w:r>
          </w:p>
        </w:tc>
      </w:tr>
      <w:tr>
        <w:tc>
          <w:tcPr>
            <w:tcBorders>
              <w:top w:val="single" w:color="00695C" w:sz="1"/>
              <w:left w:val="single" w:color="00695C" w:sz="1"/>
              <w:bottom w:val="single" w:color="00695C" w:sz="1"/>
              <w:right w:val="single" w:color="00695C" w:sz="1"/>
            </w:tcBorders>
            <w:shd w:fill="E0F2F1" w:val="clear"/>
            <w:tcMar>
              <w:top w:type="dxa" w:w="80"/>
              <w:left w:type="dxa" w:w="160"/>
              <w:bottom w:type="dxa" w:w="80"/>
              <w:right w:type="dxa" w:w="160"/>
            </w:tcMar>
          </w:tcPr>
          <w:p>
            <w:r>
              <w:rPr>
                <w:rFonts w:ascii="Arial" w:cs="Arial" w:eastAsia="Arial" w:hAnsi="Arial"/>
                <w:color w:val="212121"/>
                <w:sz w:val="22"/>
                <w:szCs w:val="22"/>
              </w:rPr>
              <w:t xml:space="preserve">Puedo ir al espacio de calma cuando me sienta muy agitado o cansado.</w:t>
            </w:r>
          </w:p>
        </w:tc>
      </w:tr>
      <w:tr>
        <w:tc>
          <w:tcPr>
            <w:tcBorders>
              <w:top w:val="single" w:color="00695C" w:sz="1"/>
              <w:left w:val="single" w:color="00695C" w:sz="1"/>
              <w:bottom w:val="single" w:color="00695C" w:sz="1"/>
              <w:right w:val="single" w:color="00695C" w:sz="1"/>
            </w:tcBorders>
            <w:shd w:fill="E0F2F1" w:val="clear"/>
            <w:tcMar>
              <w:top w:type="dxa" w:w="80"/>
              <w:left w:type="dxa" w:w="160"/>
              <w:bottom w:type="dxa" w:w="80"/>
              <w:right w:type="dxa" w:w="160"/>
            </w:tcMar>
          </w:tcPr>
          <w:p>
            <w:r>
              <w:rPr>
                <w:rFonts w:ascii="Arial" w:cs="Arial" w:eastAsia="Arial" w:hAnsi="Arial"/>
                <w:color w:val="212121"/>
                <w:sz w:val="22"/>
                <w:szCs w:val="22"/>
              </w:rPr>
              <w:t xml:space="preserve">No necesito pedir permiso. Puedo ir cuando lo necesite.</w:t>
            </w:r>
          </w:p>
        </w:tc>
      </w:tr>
      <w:tr>
        <w:tc>
          <w:tcPr>
            <w:tcBorders>
              <w:top w:val="single" w:color="00695C" w:sz="1"/>
              <w:left w:val="single" w:color="00695C" w:sz="1"/>
              <w:bottom w:val="single" w:color="00695C" w:sz="1"/>
              <w:right w:val="single" w:color="00695C" w:sz="1"/>
            </w:tcBorders>
            <w:shd w:fill="E0F2F1" w:val="clear"/>
            <w:tcMar>
              <w:top w:type="dxa" w:w="80"/>
              <w:left w:type="dxa" w:w="160"/>
              <w:bottom w:type="dxa" w:w="80"/>
              <w:right w:type="dxa" w:w="160"/>
            </w:tcMar>
          </w:tcPr>
          <w:p>
            <w:r>
              <w:rPr>
                <w:rFonts w:ascii="Arial" w:cs="Arial" w:eastAsia="Arial" w:hAnsi="Arial"/>
                <w:color w:val="212121"/>
                <w:sz w:val="22"/>
                <w:szCs w:val="22"/>
              </w:rPr>
              <w:t xml:space="preserve">Nadie me preguntará por qué fui.</w:t>
            </w:r>
          </w:p>
        </w:tc>
      </w:tr>
      <w:tr>
        <w:tc>
          <w:tcPr>
            <w:tcBorders>
              <w:top w:val="single" w:color="00695C" w:sz="1"/>
              <w:left w:val="single" w:color="00695C" w:sz="1"/>
              <w:bottom w:val="single" w:color="00695C" w:sz="1"/>
              <w:right w:val="single" w:color="00695C" w:sz="1"/>
            </w:tcBorders>
            <w:shd w:fill="E0F2F1" w:val="clear"/>
            <w:tcMar>
              <w:top w:type="dxa" w:w="80"/>
              <w:left w:type="dxa" w:w="160"/>
              <w:bottom w:type="dxa" w:w="80"/>
              <w:right w:type="dxa" w:w="160"/>
            </w:tcMar>
          </w:tcPr>
          <w:p>
            <w:r>
              <w:rPr>
                <w:rFonts w:ascii="Arial" w:cs="Arial" w:eastAsia="Arial" w:hAnsi="Arial"/>
                <w:color w:val="212121"/>
                <w:sz w:val="22"/>
                <w:szCs w:val="22"/>
              </w:rPr>
              <w:t xml:space="preserve">En el espacio de calma puedo respirar, descansar o usar los objetos sensoriales.</w:t>
            </w:r>
          </w:p>
        </w:tc>
      </w:tr>
      <w:tr>
        <w:tc>
          <w:tcPr>
            <w:tcBorders>
              <w:top w:val="single" w:color="00695C" w:sz="1"/>
              <w:left w:val="single" w:color="00695C" w:sz="1"/>
              <w:bottom w:val="single" w:color="00695C" w:sz="1"/>
              <w:right w:val="single" w:color="00695C" w:sz="1"/>
            </w:tcBorders>
            <w:shd w:fill="E0F2F1" w:val="clear"/>
            <w:tcMar>
              <w:top w:type="dxa" w:w="80"/>
              <w:left w:type="dxa" w:w="160"/>
              <w:bottom w:type="dxa" w:w="80"/>
              <w:right w:type="dxa" w:w="160"/>
            </w:tcMar>
          </w:tcPr>
          <w:p>
            <w:r>
              <w:rPr>
                <w:rFonts w:ascii="Arial" w:cs="Arial" w:eastAsia="Arial" w:hAnsi="Arial"/>
                <w:color w:val="212121"/>
                <w:sz w:val="22"/>
                <w:szCs w:val="22"/>
              </w:rPr>
              <w:t xml:space="preserve">Puedo quedarme el tiempo que necesite.</w:t>
            </w:r>
          </w:p>
        </w:tc>
      </w:tr>
      <w:tr>
        <w:tc>
          <w:tcPr>
            <w:tcBorders>
              <w:top w:val="single" w:color="00695C" w:sz="1"/>
              <w:left w:val="single" w:color="00695C" w:sz="1"/>
              <w:bottom w:val="single" w:color="00695C" w:sz="1"/>
              <w:right w:val="single" w:color="00695C" w:sz="1"/>
            </w:tcBorders>
            <w:shd w:fill="E0F2F1" w:val="clear"/>
            <w:tcMar>
              <w:top w:type="dxa" w:w="80"/>
              <w:left w:type="dxa" w:w="160"/>
              <w:bottom w:type="dxa" w:w="80"/>
              <w:right w:type="dxa" w:w="160"/>
            </w:tcMar>
          </w:tcPr>
          <w:p>
            <w:r>
              <w:rPr>
                <w:rFonts w:ascii="Arial" w:cs="Arial" w:eastAsia="Arial" w:hAnsi="Arial"/>
                <w:color w:val="212121"/>
                <w:sz w:val="22"/>
                <w:szCs w:val="22"/>
              </w:rPr>
              <w:t xml:space="preserve">Cuando me sienta mejor, puedo volver a mi lugar de trabajo.</w:t>
            </w:r>
          </w:p>
        </w:tc>
      </w:tr>
    </w:tbl>
    <w:p>
      <w:pPr>
        <w:spacing w:after="120" w:before="0"/>
      </w:pPr>
      <w:r>
        <w:t xml:space="preserve"/>
      </w:r>
    </w:p>
    <w:p>
      <w:pPr>
        <w:pStyle w:val="Heading3"/>
        <w:spacing w:after="120" w:before="240"/>
      </w:pPr>
      <w:r>
        <w:rPr>
          <w:rFonts w:ascii="Arial" w:cs="Arial" w:eastAsia="Arial" w:hAnsi="Arial"/>
          <w:b/>
          <w:bCs/>
          <w:color w:val="1565C0"/>
          <w:sz w:val="26"/>
          <w:szCs w:val="26"/>
        </w:rPr>
        <w:t xml:space="preserve">Historia Social 2 — "Cuando hay una reunión"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tcPr>
          <w:p>
            <w:pPr>
              <w:jc w:val="left"/>
            </w:pPr>
            <w:r>
              <w:rPr>
                <w:rFonts w:ascii="Arial" w:cs="Arial" w:eastAsia="Arial" w:hAnsi="Arial"/>
                <w:b/>
                <w:bCs/>
                <w:color w:val="FFFFFF"/>
                <w:sz w:val="24"/>
                <w:szCs w:val="24"/>
              </w:rPr>
              <w:t xml:space="preserve">Historia Social — Las reuniones</w:t>
            </w:r>
          </w:p>
        </w:tc>
      </w:tr>
      <w:tr>
        <w:tc>
          <w:tcPr>
            <w:tcBorders>
              <w:top w:val="single" w:color="1565C0" w:sz="1"/>
              <w:left w:val="single" w:color="1565C0" w:sz="1"/>
              <w:bottom w:val="single" w:color="1565C0" w:sz="1"/>
              <w:right w:val="single" w:color="1565C0" w:sz="1"/>
            </w:tcBorders>
            <w:shd w:fill="E3F2FD" w:val="clear"/>
            <w:tcMar>
              <w:top w:type="dxa" w:w="80"/>
              <w:left w:type="dxa" w:w="160"/>
              <w:bottom w:type="dxa" w:w="80"/>
              <w:right w:type="dxa" w:w="160"/>
            </w:tcMar>
          </w:tcPr>
          <w:p>
            <w:r>
              <w:rPr>
                <w:rFonts w:ascii="Arial" w:cs="Arial" w:eastAsia="Arial" w:hAnsi="Arial"/>
                <w:color w:val="212121"/>
                <w:sz w:val="22"/>
                <w:szCs w:val="22"/>
              </w:rPr>
              <w:t xml:space="preserve">A veces en el trabajo hay reuniones.</w:t>
            </w:r>
          </w:p>
        </w:tc>
      </w:tr>
      <w:tr>
        <w:tc>
          <w:tcPr>
            <w:tcBorders>
              <w:top w:val="single" w:color="1565C0" w:sz="1"/>
              <w:left w:val="single" w:color="1565C0" w:sz="1"/>
              <w:bottom w:val="single" w:color="1565C0" w:sz="1"/>
              <w:right w:val="single" w:color="1565C0" w:sz="1"/>
            </w:tcBorders>
            <w:shd w:fill="E3F2FD" w:val="clear"/>
            <w:tcMar>
              <w:top w:type="dxa" w:w="80"/>
              <w:left w:type="dxa" w:w="160"/>
              <w:bottom w:type="dxa" w:w="80"/>
              <w:right w:type="dxa" w:w="160"/>
            </w:tcMar>
          </w:tcPr>
          <w:p>
            <w:r>
              <w:rPr>
                <w:rFonts w:ascii="Arial" w:cs="Arial" w:eastAsia="Arial" w:hAnsi="Arial"/>
                <w:color w:val="212121"/>
                <w:sz w:val="22"/>
                <w:szCs w:val="22"/>
              </w:rPr>
              <w:t xml:space="preserve">Antes de la reunión, siempre recibo un mensaje con: qué hora es, dónde es y de qué vamos a hablar.</w:t>
            </w:r>
          </w:p>
        </w:tc>
      </w:tr>
      <w:tr>
        <w:tc>
          <w:tcPr>
            <w:tcBorders>
              <w:top w:val="single" w:color="1565C0" w:sz="1"/>
              <w:left w:val="single" w:color="1565C0" w:sz="1"/>
              <w:bottom w:val="single" w:color="1565C0" w:sz="1"/>
              <w:right w:val="single" w:color="1565C0" w:sz="1"/>
            </w:tcBorders>
            <w:shd w:fill="E3F2FD" w:val="clear"/>
            <w:tcMar>
              <w:top w:type="dxa" w:w="80"/>
              <w:left w:type="dxa" w:w="160"/>
              <w:bottom w:type="dxa" w:w="80"/>
              <w:right w:type="dxa" w:w="160"/>
            </w:tcMar>
          </w:tcPr>
          <w:p>
            <w:r>
              <w:rPr>
                <w:rFonts w:ascii="Arial" w:cs="Arial" w:eastAsia="Arial" w:hAnsi="Arial"/>
                <w:color w:val="212121"/>
                <w:sz w:val="22"/>
                <w:szCs w:val="22"/>
              </w:rPr>
              <w:t xml:space="preserve">Puedo preparar mis ideas antes de la reunión.</w:t>
            </w:r>
          </w:p>
        </w:tc>
      </w:tr>
      <w:tr>
        <w:tc>
          <w:tcPr>
            <w:tcBorders>
              <w:top w:val="single" w:color="1565C0" w:sz="1"/>
              <w:left w:val="single" w:color="1565C0" w:sz="1"/>
              <w:bottom w:val="single" w:color="1565C0" w:sz="1"/>
              <w:right w:val="single" w:color="1565C0" w:sz="1"/>
            </w:tcBorders>
            <w:shd w:fill="E3F2FD" w:val="clear"/>
            <w:tcMar>
              <w:top w:type="dxa" w:w="80"/>
              <w:left w:type="dxa" w:w="160"/>
              <w:bottom w:type="dxa" w:w="80"/>
              <w:right w:type="dxa" w:w="160"/>
            </w:tcMar>
          </w:tcPr>
          <w:p>
            <w:r>
              <w:rPr>
                <w:rFonts w:ascii="Arial" w:cs="Arial" w:eastAsia="Arial" w:hAnsi="Arial"/>
                <w:color w:val="212121"/>
                <w:sz w:val="22"/>
                <w:szCs w:val="22"/>
              </w:rPr>
              <w:t xml:space="preserve">En la reunión, puedo participar hablando o escribiendo en el chat.</w:t>
            </w:r>
          </w:p>
        </w:tc>
      </w:tr>
      <w:tr>
        <w:tc>
          <w:tcPr>
            <w:tcBorders>
              <w:top w:val="single" w:color="1565C0" w:sz="1"/>
              <w:left w:val="single" w:color="1565C0" w:sz="1"/>
              <w:bottom w:val="single" w:color="1565C0" w:sz="1"/>
              <w:right w:val="single" w:color="1565C0" w:sz="1"/>
            </w:tcBorders>
            <w:shd w:fill="E3F2FD" w:val="clear"/>
            <w:tcMar>
              <w:top w:type="dxa" w:w="80"/>
              <w:left w:type="dxa" w:w="160"/>
              <w:bottom w:type="dxa" w:w="80"/>
              <w:right w:type="dxa" w:w="160"/>
            </w:tcMar>
          </w:tcPr>
          <w:p>
            <w:r>
              <w:rPr>
                <w:rFonts w:ascii="Arial" w:cs="Arial" w:eastAsia="Arial" w:hAnsi="Arial"/>
                <w:color w:val="212121"/>
                <w:sz w:val="22"/>
                <w:szCs w:val="22"/>
              </w:rPr>
              <w:t xml:space="preserve">Si necesito tiempo para pensar antes de responder, está bien.</w:t>
            </w:r>
          </w:p>
        </w:tc>
      </w:tr>
      <w:tr>
        <w:tc>
          <w:tcPr>
            <w:tcBorders>
              <w:top w:val="single" w:color="1565C0" w:sz="1"/>
              <w:left w:val="single" w:color="1565C0" w:sz="1"/>
              <w:bottom w:val="single" w:color="1565C0" w:sz="1"/>
              <w:right w:val="single" w:color="1565C0" w:sz="1"/>
            </w:tcBorders>
            <w:shd w:fill="E3F2FD" w:val="clear"/>
            <w:tcMar>
              <w:top w:type="dxa" w:w="80"/>
              <w:left w:type="dxa" w:w="160"/>
              <w:bottom w:type="dxa" w:w="80"/>
              <w:right w:type="dxa" w:w="160"/>
            </w:tcMar>
          </w:tcPr>
          <w:p>
            <w:r>
              <w:rPr>
                <w:rFonts w:ascii="Arial" w:cs="Arial" w:eastAsia="Arial" w:hAnsi="Arial"/>
                <w:color w:val="212121"/>
                <w:sz w:val="22"/>
                <w:szCs w:val="22"/>
              </w:rPr>
              <w:t xml:space="preserve">Nadie me dirá que no estoy poniendo atención porque no miro directo.</w:t>
            </w:r>
          </w:p>
        </w:tc>
      </w:tr>
      <w:tr>
        <w:tc>
          <w:tcPr>
            <w:tcBorders>
              <w:top w:val="single" w:color="1565C0" w:sz="1"/>
              <w:left w:val="single" w:color="1565C0" w:sz="1"/>
              <w:bottom w:val="single" w:color="1565C0" w:sz="1"/>
              <w:right w:val="single" w:color="1565C0" w:sz="1"/>
            </w:tcBorders>
            <w:shd w:fill="E3F2FD" w:val="clear"/>
            <w:tcMar>
              <w:top w:type="dxa" w:w="80"/>
              <w:left w:type="dxa" w:w="160"/>
              <w:bottom w:type="dxa" w:w="80"/>
              <w:right w:type="dxa" w:w="160"/>
            </w:tcMar>
          </w:tcPr>
          <w:p>
            <w:r>
              <w:rPr>
                <w:rFonts w:ascii="Arial" w:cs="Arial" w:eastAsia="Arial" w:hAnsi="Arial"/>
                <w:color w:val="212121"/>
                <w:sz w:val="22"/>
                <w:szCs w:val="22"/>
              </w:rPr>
              <w:t xml:space="preserve">Si la reunión es muy difícil, puedo pedir un descanso o salir.</w:t>
            </w:r>
          </w:p>
        </w:tc>
      </w:tr>
      <w:tr>
        <w:tc>
          <w:tcPr>
            <w:tcBorders>
              <w:top w:val="single" w:color="1565C0" w:sz="1"/>
              <w:left w:val="single" w:color="1565C0" w:sz="1"/>
              <w:bottom w:val="single" w:color="1565C0" w:sz="1"/>
              <w:right w:val="single" w:color="1565C0" w:sz="1"/>
            </w:tcBorders>
            <w:shd w:fill="E3F2FD" w:val="clear"/>
            <w:tcMar>
              <w:top w:type="dxa" w:w="80"/>
              <w:left w:type="dxa" w:w="160"/>
              <w:bottom w:type="dxa" w:w="80"/>
              <w:right w:type="dxa" w:w="160"/>
            </w:tcMar>
          </w:tcPr>
          <w:p>
            <w:r>
              <w:rPr>
                <w:rFonts w:ascii="Arial" w:cs="Arial" w:eastAsia="Arial" w:hAnsi="Arial"/>
                <w:color w:val="212121"/>
                <w:sz w:val="22"/>
                <w:szCs w:val="22"/>
              </w:rPr>
              <w:t xml:space="preserve">Después de la reunión, recibiré un resumen escrito de lo que decidimos.</w:t>
            </w:r>
          </w:p>
        </w:tc>
      </w:tr>
    </w:tbl>
    <w:p>
      <w:pPr>
        <w:spacing w:after="120" w:before="0"/>
      </w:pPr>
      <w:r>
        <w:t xml:space="preserve"/>
      </w:r>
    </w:p>
    <w:p>
      <w:pPr>
        <w:pStyle w:val="Heading3"/>
        <w:spacing w:after="120" w:before="240"/>
      </w:pPr>
      <w:r>
        <w:rPr>
          <w:rFonts w:ascii="Arial" w:cs="Arial" w:eastAsia="Arial" w:hAnsi="Arial"/>
          <w:b/>
          <w:bCs/>
          <w:color w:val="1565C0"/>
          <w:sz w:val="26"/>
          <w:szCs w:val="26"/>
        </w:rPr>
        <w:t xml:space="preserve">Historia Social 3 — "Cuando visito esta tienda" (para familias y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1"/>
              <w:left w:val="single" w:color="E65100" w:sz="1"/>
              <w:bottom w:val="single" w:color="E65100" w:sz="1"/>
              <w:right w:val="single" w:color="E65100" w:sz="1"/>
            </w:tcBorders>
            <w:shd w:fill="E65100" w:val="clear"/>
            <w:tcMar>
              <w:top w:type="dxa" w:w="100"/>
              <w:left w:type="dxa" w:w="160"/>
              <w:bottom w:type="dxa" w:w="100"/>
              <w:right w:type="dxa" w:w="160"/>
            </w:tcMar>
          </w:tcPr>
          <w:p>
            <w:pPr>
              <w:jc w:val="left"/>
            </w:pPr>
            <w:r>
              <w:rPr>
                <w:rFonts w:ascii="Arial" w:cs="Arial" w:eastAsia="Arial" w:hAnsi="Arial"/>
                <w:b/>
                <w:bCs/>
                <w:color w:val="FFFFFF"/>
                <w:sz w:val="24"/>
                <w:szCs w:val="24"/>
              </w:rPr>
              <w:t xml:space="preserve">Historia Social — Visitar un comercio CENI</w:t>
            </w:r>
          </w:p>
        </w:tc>
      </w:tr>
      <w:tr>
        <w:tc>
          <w:tcPr>
            <w:tcBorders>
              <w:top w:val="single" w:color="E65100" w:sz="1"/>
              <w:left w:val="single" w:color="E65100" w:sz="1"/>
              <w:bottom w:val="single" w:color="E65100" w:sz="1"/>
              <w:right w:val="single" w:color="E65100" w:sz="1"/>
            </w:tcBorders>
            <w:shd w:fill="FFF3E0" w:val="clear"/>
            <w:tcMar>
              <w:top w:type="dxa" w:w="80"/>
              <w:left w:type="dxa" w:w="160"/>
              <w:bottom w:type="dxa" w:w="80"/>
              <w:right w:type="dxa" w:w="160"/>
            </w:tcMar>
          </w:tcPr>
          <w:p>
            <w:r>
              <w:rPr>
                <w:rFonts w:ascii="Arial" w:cs="Arial" w:eastAsia="Arial" w:hAnsi="Arial"/>
                <w:color w:val="212121"/>
                <w:sz w:val="22"/>
                <w:szCs w:val="22"/>
              </w:rPr>
              <w:t xml:space="preserve">Voy a visitar esta tienda / restaurante / lugar.</w:t>
            </w:r>
          </w:p>
        </w:tc>
      </w:tr>
      <w:tr>
        <w:tc>
          <w:tcPr>
            <w:tcBorders>
              <w:top w:val="single" w:color="E65100" w:sz="1"/>
              <w:left w:val="single" w:color="E65100" w:sz="1"/>
              <w:bottom w:val="single" w:color="E65100" w:sz="1"/>
              <w:right w:val="single" w:color="E65100" w:sz="1"/>
            </w:tcBorders>
            <w:shd w:fill="FFF3E0" w:val="clear"/>
            <w:tcMar>
              <w:top w:type="dxa" w:w="80"/>
              <w:left w:type="dxa" w:w="160"/>
              <w:bottom w:type="dxa" w:w="80"/>
              <w:right w:type="dxa" w:w="160"/>
            </w:tcMar>
          </w:tcPr>
          <w:p>
            <w:r>
              <w:rPr>
                <w:rFonts w:ascii="Arial" w:cs="Arial" w:eastAsia="Arial" w:hAnsi="Arial"/>
                <w:color w:val="212121"/>
                <w:sz w:val="22"/>
                <w:szCs w:val="22"/>
              </w:rPr>
              <w:t xml:space="preserve">En la entrada hay un mapa del lugar para que sepa dónde está todo.</w:t>
            </w:r>
          </w:p>
        </w:tc>
      </w:tr>
      <w:tr>
        <w:tc>
          <w:tcPr>
            <w:tcBorders>
              <w:top w:val="single" w:color="E65100" w:sz="1"/>
              <w:left w:val="single" w:color="E65100" w:sz="1"/>
              <w:bottom w:val="single" w:color="E65100" w:sz="1"/>
              <w:right w:val="single" w:color="E65100" w:sz="1"/>
            </w:tcBorders>
            <w:shd w:fill="FFF3E0" w:val="clear"/>
            <w:tcMar>
              <w:top w:type="dxa" w:w="80"/>
              <w:left w:type="dxa" w:w="160"/>
              <w:bottom w:type="dxa" w:w="80"/>
              <w:right w:type="dxa" w:w="160"/>
            </w:tcMar>
          </w:tcPr>
          <w:p>
            <w:r>
              <w:rPr>
                <w:rFonts w:ascii="Arial" w:cs="Arial" w:eastAsia="Arial" w:hAnsi="Arial"/>
                <w:color w:val="212121"/>
                <w:sz w:val="22"/>
                <w:szCs w:val="22"/>
              </w:rPr>
              <w:t xml:space="preserve">Si hay música o mucho ruido, puedo pedir auriculares en la entrada.</w:t>
            </w:r>
          </w:p>
        </w:tc>
      </w:tr>
      <w:tr>
        <w:tc>
          <w:tcPr>
            <w:tcBorders>
              <w:top w:val="single" w:color="E65100" w:sz="1"/>
              <w:left w:val="single" w:color="E65100" w:sz="1"/>
              <w:bottom w:val="single" w:color="E65100" w:sz="1"/>
              <w:right w:val="single" w:color="E65100" w:sz="1"/>
            </w:tcBorders>
            <w:shd w:fill="FFF3E0" w:val="clear"/>
            <w:tcMar>
              <w:top w:type="dxa" w:w="80"/>
              <w:left w:type="dxa" w:w="160"/>
              <w:bottom w:type="dxa" w:w="80"/>
              <w:right w:type="dxa" w:w="160"/>
            </w:tcMar>
          </w:tcPr>
          <w:p>
            <w:r>
              <w:rPr>
                <w:rFonts w:ascii="Arial" w:cs="Arial" w:eastAsia="Arial" w:hAnsi="Arial"/>
                <w:color w:val="212121"/>
                <w:sz w:val="22"/>
                <w:szCs w:val="22"/>
              </w:rPr>
              <w:t xml:space="preserve">Hay un espacio tranquilo si necesito descansar. Está señalado con un cartel.</w:t>
            </w:r>
          </w:p>
        </w:tc>
      </w:tr>
      <w:tr>
        <w:tc>
          <w:tcPr>
            <w:tcBorders>
              <w:top w:val="single" w:color="E65100" w:sz="1"/>
              <w:left w:val="single" w:color="E65100" w:sz="1"/>
              <w:bottom w:val="single" w:color="E65100" w:sz="1"/>
              <w:right w:val="single" w:color="E65100" w:sz="1"/>
            </w:tcBorders>
            <w:shd w:fill="FFF3E0" w:val="clear"/>
            <w:tcMar>
              <w:top w:type="dxa" w:w="80"/>
              <w:left w:type="dxa" w:w="160"/>
              <w:bottom w:type="dxa" w:w="80"/>
              <w:right w:type="dxa" w:w="160"/>
            </w:tcMar>
          </w:tcPr>
          <w:p>
            <w:r>
              <w:rPr>
                <w:rFonts w:ascii="Arial" w:cs="Arial" w:eastAsia="Arial" w:hAnsi="Arial"/>
                <w:color w:val="212121"/>
                <w:sz w:val="22"/>
                <w:szCs w:val="22"/>
              </w:rPr>
              <w:t xml:space="preserve">Si necesito comunicarme y hablar es difícil, puedo usar el tablero con imágenes del mostrador.</w:t>
            </w:r>
          </w:p>
        </w:tc>
      </w:tr>
      <w:tr>
        <w:tc>
          <w:tcPr>
            <w:tcBorders>
              <w:top w:val="single" w:color="E65100" w:sz="1"/>
              <w:left w:val="single" w:color="E65100" w:sz="1"/>
              <w:bottom w:val="single" w:color="E65100" w:sz="1"/>
              <w:right w:val="single" w:color="E65100" w:sz="1"/>
            </w:tcBorders>
            <w:shd w:fill="FFF3E0" w:val="clear"/>
            <w:tcMar>
              <w:top w:type="dxa" w:w="80"/>
              <w:left w:type="dxa" w:w="160"/>
              <w:bottom w:type="dxa" w:w="80"/>
              <w:right w:type="dxa" w:w="160"/>
            </w:tcMar>
          </w:tcPr>
          <w:p>
            <w:r>
              <w:rPr>
                <w:rFonts w:ascii="Arial" w:cs="Arial" w:eastAsia="Arial" w:hAnsi="Arial"/>
                <w:color w:val="212121"/>
                <w:sz w:val="22"/>
                <w:szCs w:val="22"/>
              </w:rPr>
              <w:t xml:space="preserve">El personal sabe esperar si necesito tiempo para pensar.</w:t>
            </w:r>
          </w:p>
        </w:tc>
      </w:tr>
      <w:tr>
        <w:tc>
          <w:tcPr>
            <w:tcBorders>
              <w:top w:val="single" w:color="E65100" w:sz="1"/>
              <w:left w:val="single" w:color="E65100" w:sz="1"/>
              <w:bottom w:val="single" w:color="E65100" w:sz="1"/>
              <w:right w:val="single" w:color="E65100" w:sz="1"/>
            </w:tcBorders>
            <w:shd w:fill="FFF3E0" w:val="clear"/>
            <w:tcMar>
              <w:top w:type="dxa" w:w="80"/>
              <w:left w:type="dxa" w:w="160"/>
              <w:bottom w:type="dxa" w:w="80"/>
              <w:right w:type="dxa" w:w="160"/>
            </w:tcMar>
          </w:tcPr>
          <w:p>
            <w:r>
              <w:rPr>
                <w:rFonts w:ascii="Arial" w:cs="Arial" w:eastAsia="Arial" w:hAnsi="Arial"/>
                <w:color w:val="212121"/>
                <w:sz w:val="22"/>
                <w:szCs w:val="22"/>
              </w:rPr>
              <w:t xml:space="preserve">Puedo tomar mi tiempo para elegir lo que quiero.</w:t>
            </w:r>
          </w:p>
        </w:tc>
      </w:tr>
      <w:tr>
        <w:tc>
          <w:tcPr>
            <w:tcBorders>
              <w:top w:val="single" w:color="E65100" w:sz="1"/>
              <w:left w:val="single" w:color="E65100" w:sz="1"/>
              <w:bottom w:val="single" w:color="E65100" w:sz="1"/>
              <w:right w:val="single" w:color="E65100" w:sz="1"/>
            </w:tcBorders>
            <w:shd w:fill="FFF3E0" w:val="clear"/>
            <w:tcMar>
              <w:top w:type="dxa" w:w="80"/>
              <w:left w:type="dxa" w:w="160"/>
              <w:bottom w:type="dxa" w:w="80"/>
              <w:right w:type="dxa" w:w="160"/>
            </w:tcMar>
          </w:tcPr>
          <w:p>
            <w:r>
              <w:rPr>
                <w:rFonts w:ascii="Arial" w:cs="Arial" w:eastAsia="Arial" w:hAnsi="Arial"/>
                <w:color w:val="212121"/>
                <w:sz w:val="22"/>
                <w:szCs w:val="22"/>
              </w:rPr>
              <w:t xml:space="preserve">Si algo me molesta, puedo decirlo o escribirlo y alguien me ayudará.</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ANEXO B — Scripts de Comunicación Accesible</w:t>
      </w:r>
    </w:p>
    <w:p>
      <w:pPr>
        <w:pStyle w:val="Heading3"/>
        <w:spacing w:after="120" w:before="240"/>
      </w:pPr>
      <w:r>
        <w:rPr>
          <w:rFonts w:ascii="Arial" w:cs="Arial" w:eastAsia="Arial" w:hAnsi="Arial"/>
          <w:b/>
          <w:bCs/>
          <w:color w:val="1565C0"/>
          <w:sz w:val="26"/>
          <w:szCs w:val="26"/>
        </w:rPr>
        <w:t xml:space="preserve">Script B1 — Informar un cambio de horario o procedimiento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Situación</w:t>
            </w:r>
          </w:p>
        </w:tc>
        <w:tc>
          <w:tcPr>
            <w:tcW w:type="dxa" w:w="7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Un colaborador neurodivergente necesita ser informado de que su horario cambiará la semana próxima.</w:t>
            </w:r>
          </w:p>
        </w:tc>
      </w:tr>
      <w:tr>
        <w:tc>
          <w:tcPr>
            <w:tcW w:type="dxa" w:w="20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Script (escrito)</w:t>
            </w:r>
          </w:p>
        </w:tc>
        <w:tc>
          <w:tcPr>
            <w:tcW w:type="dxa" w:w="7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"Hola [Nombre]. Quiero avisarte con tiempo de un cambio importante.
A partir del [fecha], tu horario de entrada cambiará a las [hora] en lugar de las [hora actual].
El horario de salida sigue igual: [hora].
Si tienes preguntas o necesitas algo diferente, dímelo. Tenemos tiempo de organizarnos."</w:t>
            </w:r>
          </w:p>
        </w:tc>
      </w:tr>
      <w:tr>
        <w:tc>
          <w:tcPr>
            <w:tcW w:type="dxa" w:w="20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Lo que NO hacer</w:t>
            </w:r>
          </w:p>
        </w:tc>
        <w:tc>
          <w:tcPr>
            <w:tcW w:type="dxa" w:w="7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"Oye, desde la próxima semana entramos más tarde, ¿ok?"</w:t>
            </w:r>
          </w:p>
        </w:tc>
      </w:tr>
      <w:tr>
        <w:tc>
          <w:tcPr>
            <w:tcW w:type="dxa" w:w="20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Por qué funciona</w:t>
            </w:r>
          </w:p>
        </w:tc>
        <w:tc>
          <w:tcPr>
            <w:tcW w:type="dxa" w:w="7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Lenguaje directo, fecha concreta, comparación claro con lo actual, oferta explícita de apoyo, tono no urgente.</w:t>
            </w:r>
          </w:p>
        </w:tc>
      </w:tr>
    </w:tbl>
    <w:p>
      <w:pPr>
        <w:spacing w:after="120" w:before="0"/>
      </w:pPr>
      <w:r>
        <w:t xml:space="preserve"/>
      </w:r>
    </w:p>
    <w:p>
      <w:pPr>
        <w:pStyle w:val="Heading3"/>
        <w:spacing w:after="120" w:before="240"/>
      </w:pPr>
      <w:r>
        <w:rPr>
          <w:rFonts w:ascii="Arial" w:cs="Arial" w:eastAsia="Arial" w:hAnsi="Arial"/>
          <w:b/>
          <w:bCs/>
          <w:color w:val="1565C0"/>
          <w:sz w:val="26"/>
          <w:szCs w:val="26"/>
        </w:rPr>
        <w:t xml:space="preserve">Script B2 — Dar retroalimentación de desempeño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Situación</w:t>
            </w:r>
          </w:p>
        </w:tc>
        <w:tc>
          <w:tcPr>
            <w:tcW w:type="dxa" w:w="7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El supervisor necesita dar retroalimentación sobre un error en un informe.</w:t>
            </w:r>
          </w:p>
        </w:tc>
      </w:tr>
      <w:tr>
        <w:tc>
          <w:tcPr>
            <w:tcW w:type="dxa" w:w="20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Script</w:t>
            </w:r>
          </w:p>
        </w:tc>
        <w:tc>
          <w:tcPr>
            <w:tcW w:type="dxa" w:w="7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"[Nombre], quiero hablar contigo sobre el informe del [fecha]. En la sección 3, los datos de ventas no coinciden con los del sistema. Necesito que revises esa sección y me envíes la versión corregida antes del [fecha y hora].
El resto del informe está bien. ¿Tienes alguna pregunta sobre qué necesita cambiar?"</w:t>
            </w:r>
          </w:p>
        </w:tc>
      </w:tr>
      <w:tr>
        <w:tc>
          <w:tcPr>
            <w:tcW w:type="dxa" w:w="20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Lo que NO hacer</w:t>
            </w:r>
          </w:p>
        </w:tc>
        <w:tc>
          <w:tcPr>
            <w:tcW w:type="dxa" w:w="7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"El informe tuvo varios errores, necesitas poner más atención a los detalles."</w:t>
            </w:r>
          </w:p>
        </w:tc>
      </w:tr>
      <w:tr>
        <w:tc>
          <w:tcPr>
            <w:tcW w:type="dxa" w:w="20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Por qué funciona</w:t>
            </w:r>
          </w:p>
        </w:tc>
        <w:tc>
          <w:tcPr>
            <w:tcW w:type="dxa" w:w="7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Error específico (sección 3, datos concretos). Solución clara (revisar + fecha). Sin generalización de carácter. Confirmación de lo que sí estuvo bien.</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ANEXO C — Formatos descargables (descripción)</w:t>
      </w:r>
    </w:p>
    <w:p>
      <w:pPr>
        <w:spacing w:after="60" w:before="60"/>
        <w:jc w:val="left"/>
      </w:pPr>
      <w:r>
        <w:rPr>
          <w:rFonts w:ascii="Arial" w:cs="Arial" w:eastAsia="Arial" w:hAnsi="Arial"/>
          <w:b w:val="false"/>
          <w:bCs w:val="false"/>
          <w:i w:val="false"/>
          <w:iCs w:val="false"/>
          <w:color w:val="212121"/>
          <w:sz w:val="22"/>
          <w:szCs w:val="22"/>
        </w:rPr>
        <w:t xml:space="preserve">Los siguientes formatos están disponibles para descarga en alianzaindigo.org/ceni/recursos: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F-01</w:t>
            </w:r>
          </w:p>
        </w:tc>
        <w:tc>
          <w:tcPr>
            <w:tcW w:type="dxa" w:w="8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Registro de Incidentes Sensoriales (RIS) — Excel y PDF editable</w:t>
            </w:r>
          </w:p>
        </w:tc>
      </w:tr>
      <w:tr>
        <w:tc>
          <w:tcPr>
            <w:tcW w:type="dxa" w:w="8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F-02</w:t>
            </w:r>
          </w:p>
        </w:tc>
        <w:tc>
          <w:tcPr>
            <w:tcW w:type="dxa" w:w="8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Instrumento de Autoevaluación CENI Laboral — Excel con fórmulas automáticas de puntuación</w:t>
            </w:r>
          </w:p>
        </w:tc>
      </w:tr>
      <w:tr>
        <w:tc>
          <w:tcPr>
            <w:tcW w:type="dxa" w:w="8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F-03</w:t>
            </w:r>
          </w:p>
        </w:tc>
        <w:tc>
          <w:tcPr>
            <w:tcW w:type="dxa" w:w="8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Instrumento de Autoevaluación CENI Espacios — Excel con fórmulas automáticas</w:t>
            </w:r>
          </w:p>
        </w:tc>
      </w:tr>
      <w:tr>
        <w:tc>
          <w:tcPr>
            <w:tcW w:type="dxa" w:w="8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F-04</w:t>
            </w:r>
          </w:p>
        </w:tc>
        <w:tc>
          <w:tcPr>
            <w:tcW w:type="dxa" w:w="8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Plantilla de Mapa Sensorial — PowerPoint editable con iconografía ARASAAC</w:t>
            </w:r>
          </w:p>
        </w:tc>
      </w:tr>
      <w:tr>
        <w:tc>
          <w:tcPr>
            <w:tcW w:type="dxa" w:w="8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F-05</w:t>
            </w:r>
          </w:p>
        </w:tc>
        <w:tc>
          <w:tcPr>
            <w:tcW w:type="dxa" w:w="8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Plantilla de Plan de Mejora Continua de Neuroinclusión (PMCN)</w:t>
            </w:r>
          </w:p>
        </w:tc>
      </w:tr>
      <w:tr>
        <w:tc>
          <w:tcPr>
            <w:tcW w:type="dxa" w:w="8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F-06</w:t>
            </w:r>
          </w:p>
        </w:tc>
        <w:tc>
          <w:tcPr>
            <w:tcW w:type="dxa" w:w="8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Plantilla de Reglamento Interno de Neuroinclusión (RIN)</w:t>
            </w:r>
          </w:p>
        </w:tc>
      </w:tr>
      <w:tr>
        <w:tc>
          <w:tcPr>
            <w:tcW w:type="dxa" w:w="8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F-07</w:t>
            </w:r>
          </w:p>
        </w:tc>
        <w:tc>
          <w:tcPr>
            <w:tcW w:type="dxa" w:w="8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Plantilla de Manual Operativo de Neuroinclusión del Espacio (MONE)</w:t>
            </w:r>
          </w:p>
        </w:tc>
      </w:tr>
      <w:tr>
        <w:tc>
          <w:tcPr>
            <w:tcW w:type="dxa" w:w="8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F-08</w:t>
            </w:r>
          </w:p>
        </w:tc>
        <w:tc>
          <w:tcPr>
            <w:tcW w:type="dxa" w:w="8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Checklist pre-auditoría CENI Laboral</w:t>
            </w:r>
          </w:p>
        </w:tc>
      </w:tr>
      <w:tr>
        <w:tc>
          <w:tcPr>
            <w:tcW w:type="dxa" w:w="8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F-09</w:t>
            </w:r>
          </w:p>
        </w:tc>
        <w:tc>
          <w:tcPr>
            <w:tcW w:type="dxa" w:w="8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Checklist pre-auditoría CENI Espacios</w:t>
            </w:r>
          </w:p>
        </w:tc>
      </w:tr>
      <w:tr>
        <w:tc>
          <w:tcPr>
            <w:tcW w:type="dxa" w:w="8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F-10</w:t>
            </w:r>
          </w:p>
        </w:tc>
        <w:tc>
          <w:tcPr>
            <w:tcW w:type="dxa" w:w="8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Guía de organización de expediente de evidencias</w:t>
            </w:r>
          </w:p>
        </w:tc>
      </w:tr>
      <w:tr>
        <w:tc>
          <w:tcPr>
            <w:tcW w:type="dxa" w:w="8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F-11</w:t>
            </w:r>
          </w:p>
        </w:tc>
        <w:tc>
          <w:tcPr>
            <w:tcW w:type="dxa" w:w="8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Registro de capacitación del personal (horas, temas, fechas, firmas)</w:t>
            </w:r>
          </w:p>
        </w:tc>
      </w:tr>
      <w:tr>
        <w:tc>
          <w:tcPr>
            <w:tcW w:type="dxa" w:w="8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F-12</w:t>
            </w:r>
          </w:p>
        </w:tc>
        <w:tc>
          <w:tcPr>
            <w:tcW w:type="dxa" w:w="8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Instrumento de mystery client neurodivergente (versión pública)</w:t>
            </w:r>
          </w:p>
        </w:tc>
      </w:tr>
      <w:tr>
        <w:tc>
          <w:tcPr>
            <w:tcW w:type="dxa" w:w="8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F-13</w:t>
            </w:r>
          </w:p>
        </w:tc>
        <w:tc>
          <w:tcPr>
            <w:tcW w:type="dxa" w:w="8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Guía de elaboración de mapa sensorial para usuarios (versión familia)</w:t>
            </w:r>
          </w:p>
        </w:tc>
      </w:tr>
      <w:tr>
        <w:tc>
          <w:tcPr>
            <w:tcW w:type="dxa" w:w="8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F-14</w:t>
            </w:r>
          </w:p>
        </w:tc>
        <w:tc>
          <w:tcPr>
            <w:tcW w:type="dxa" w:w="8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Modelo de declaración de política de neuroinclusión para sitio web y cartelería</w:t>
            </w:r>
          </w:p>
        </w:tc>
      </w:tr>
      <w:tr>
        <w:tc>
          <w:tcPr>
            <w:tcW w:type="dxa" w:w="8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F-15</w:t>
            </w:r>
          </w:p>
        </w:tc>
        <w:tc>
          <w:tcPr>
            <w:tcW w:type="dxa" w:w="8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Informe semestral de neuroinclusión para presentar a la dirección</w:t>
            </w:r>
          </w:p>
          <w:p>
            <w:pPr>
              <w:spacing w:after="60" w:before="60"/>
              <w:jc w:val="left"/>
            </w:pPr>
            <w:r>
              <w:rPr>
                <w:rFonts w:ascii="Arial" w:cs="Arial" w:eastAsia="Arial" w:hAnsi="Arial"/>
                <w:b w:val="false"/>
                <w:bCs w:val="false"/>
                <w:i w:val="false"/>
                <w:iCs w:val="false"/>
                <w:color w:val="212121"/>
                <w:sz w:val="22"/>
                <w:szCs w:val="22"/>
              </w:rPr>
              <w:t xml:space="preserve">F-16 | Modelo de política de prevención de riesgos psicosociales NOM-035 (base Guía IV) — Word editable</w:t>
            </w:r>
          </w:p>
          <w:p>
            <w:pPr>
              <w:spacing w:after="60" w:before="60"/>
              <w:jc w:val="left"/>
            </w:pPr>
            <w:r>
              <w:rPr>
                <w:rFonts w:ascii="Arial" w:cs="Arial" w:eastAsia="Arial" w:hAnsi="Arial"/>
                <w:b w:val="false"/>
                <w:bCs w:val="false"/>
                <w:i w:val="false"/>
                <w:iCs w:val="false"/>
                <w:color w:val="212121"/>
                <w:sz w:val="22"/>
                <w:szCs w:val="22"/>
              </w:rPr>
              <w:t xml:space="preserve">F-17 | Checklist de cumplimiento NOM-035-STPS-2018 — Excel y PDF</w:t>
            </w:r>
          </w:p>
          <w:p>
            <w:pPr>
              <w:spacing w:after="60" w:before="60"/>
              <w:jc w:val="left"/>
            </w:pPr>
            <w:r>
              <w:rPr>
                <w:rFonts w:ascii="Arial" w:cs="Arial" w:eastAsia="Arial" w:hAnsi="Arial"/>
                <w:b w:val="false"/>
                <w:bCs w:val="false"/>
                <w:i w:val="false"/>
                <w:iCs w:val="false"/>
                <w:color w:val="212121"/>
                <w:sz w:val="22"/>
                <w:szCs w:val="22"/>
              </w:rPr>
              <w:t xml:space="preserve">F-18 | Anexo neurodivergente al cuestionario de factores de riesgo psicosocial — instrumento aplicable (Excel y PDF)</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ANEXO D — Guías rápidas de bolsillo</w:t>
      </w:r>
    </w:p>
    <w:p>
      <w:pPr>
        <w:pStyle w:val="Heading3"/>
        <w:spacing w:after="120" w:before="240"/>
      </w:pPr>
      <w:r>
        <w:rPr>
          <w:rFonts w:ascii="Arial" w:cs="Arial" w:eastAsia="Arial" w:hAnsi="Arial"/>
          <w:b/>
          <w:bCs/>
          <w:color w:val="1565C0"/>
          <w:sz w:val="26"/>
          <w:szCs w:val="26"/>
        </w:rPr>
        <w:t xml:space="preserve">Guía rápida: ¿Qué hago si alguien tiene un meltdown?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360C" w:sz="1"/>
              <w:left w:val="single" w:color="BF360C" w:sz="1"/>
              <w:bottom w:val="single" w:color="BF360C" w:sz="1"/>
              <w:right w:val="single" w:color="BF360C" w:sz="1"/>
            </w:tcBorders>
            <w:shd w:fill="BF360C" w:val="clear"/>
            <w:tcMar>
              <w:top w:type="dxa" w:w="100"/>
              <w:left w:type="dxa" w:w="160"/>
              <w:bottom w:type="dxa" w:w="100"/>
              <w:right w:type="dxa" w:w="160"/>
            </w:tcMar>
          </w:tcPr>
          <w:p>
            <w:pPr>
              <w:jc w:val="left"/>
            </w:pPr>
            <w:r>
              <w:rPr>
                <w:rFonts w:ascii="Arial" w:cs="Arial" w:eastAsia="Arial" w:hAnsi="Arial"/>
                <w:b/>
                <w:bCs/>
                <w:color w:val="FFFFFF"/>
                <w:sz w:val="24"/>
                <w:szCs w:val="24"/>
              </w:rPr>
              <w:t xml:space="preserve">GUÍA RÁPIDA — MELTDOWN</w:t>
            </w:r>
          </w:p>
        </w:tc>
      </w:tr>
      <w:tr>
        <w:tc>
          <w:tcPr>
            <w:tcBorders>
              <w:top w:val="single" w:color="BF360C" w:sz="1"/>
              <w:left w:val="single" w:color="BF360C" w:sz="1"/>
              <w:bottom w:val="single" w:color="BF360C" w:sz="1"/>
              <w:right w:val="single" w:color="BF360C" w:sz="1"/>
            </w:tcBorders>
            <w:shd w:fill="FBE9E7" w:val="clear"/>
            <w:tcMar>
              <w:top w:type="dxa" w:w="80"/>
              <w:left w:type="dxa" w:w="160"/>
              <w:bottom w:type="dxa" w:w="80"/>
              <w:right w:type="dxa" w:w="160"/>
            </w:tcMar>
          </w:tcPr>
          <w:p>
            <w:r>
              <w:rPr>
                <w:rFonts w:ascii="Arial" w:cs="Arial" w:eastAsia="Arial" w:hAnsi="Arial"/>
                <w:color w:val="212121"/>
                <w:sz w:val="22"/>
                <w:szCs w:val="22"/>
              </w:rPr>
              <w:t xml:space="preserve">1. MANTÉN LA CALMA. Tu estado emocional afecta el entorno.</w:t>
            </w:r>
          </w:p>
        </w:tc>
      </w:tr>
      <w:tr>
        <w:tc>
          <w:tcPr>
            <w:tcBorders>
              <w:top w:val="single" w:color="BF360C" w:sz="1"/>
              <w:left w:val="single" w:color="BF360C" w:sz="1"/>
              <w:bottom w:val="single" w:color="BF360C" w:sz="1"/>
              <w:right w:val="single" w:color="BF360C" w:sz="1"/>
            </w:tcBorders>
            <w:shd w:fill="FBE9E7" w:val="clear"/>
            <w:tcMar>
              <w:top w:type="dxa" w:w="80"/>
              <w:left w:type="dxa" w:w="160"/>
              <w:bottom w:type="dxa" w:w="80"/>
              <w:right w:type="dxa" w:w="160"/>
            </w:tcMar>
          </w:tcPr>
          <w:p>
            <w:r>
              <w:rPr>
                <w:rFonts w:ascii="Arial" w:cs="Arial" w:eastAsia="Arial" w:hAnsi="Arial"/>
                <w:color w:val="212121"/>
                <w:sz w:val="22"/>
                <w:szCs w:val="22"/>
              </w:rPr>
              <w:t xml:space="preserve">2. REDUCE ESTÍMULOS: apaga luces innecesarias, baja el volumen, despeja el espacio.</w:t>
            </w:r>
          </w:p>
        </w:tc>
      </w:tr>
      <w:tr>
        <w:tc>
          <w:tcPr>
            <w:tcBorders>
              <w:top w:val="single" w:color="BF360C" w:sz="1"/>
              <w:left w:val="single" w:color="BF360C" w:sz="1"/>
              <w:bottom w:val="single" w:color="BF360C" w:sz="1"/>
              <w:right w:val="single" w:color="BF360C" w:sz="1"/>
            </w:tcBorders>
            <w:shd w:fill="FBE9E7" w:val="clear"/>
            <w:tcMar>
              <w:top w:type="dxa" w:w="80"/>
              <w:left w:type="dxa" w:w="160"/>
              <w:bottom w:type="dxa" w:w="80"/>
              <w:right w:type="dxa" w:w="160"/>
            </w:tcMar>
          </w:tcPr>
          <w:p>
            <w:r>
              <w:rPr>
                <w:rFonts w:ascii="Arial" w:cs="Arial" w:eastAsia="Arial" w:hAnsi="Arial"/>
                <w:color w:val="212121"/>
                <w:sz w:val="22"/>
                <w:szCs w:val="22"/>
              </w:rPr>
              <w:t xml:space="preserve">3. PERMANECE CERCA sin tocar, sin hablar, sin hacer preguntas.</w:t>
            </w:r>
          </w:p>
        </w:tc>
      </w:tr>
      <w:tr>
        <w:tc>
          <w:tcPr>
            <w:tcBorders>
              <w:top w:val="single" w:color="BF360C" w:sz="1"/>
              <w:left w:val="single" w:color="BF360C" w:sz="1"/>
              <w:bottom w:val="single" w:color="BF360C" w:sz="1"/>
              <w:right w:val="single" w:color="BF360C" w:sz="1"/>
            </w:tcBorders>
            <w:shd w:fill="FBE9E7" w:val="clear"/>
            <w:tcMar>
              <w:top w:type="dxa" w:w="80"/>
              <w:left w:type="dxa" w:w="160"/>
              <w:bottom w:type="dxa" w:w="80"/>
              <w:right w:type="dxa" w:w="160"/>
            </w:tcMar>
          </w:tcPr>
          <w:p>
            <w:r>
              <w:rPr>
                <w:rFonts w:ascii="Arial" w:cs="Arial" w:eastAsia="Arial" w:hAnsi="Arial"/>
                <w:color w:val="212121"/>
                <w:sz w:val="22"/>
                <w:szCs w:val="22"/>
              </w:rPr>
              <w:t xml:space="preserve">4. NO INTERVENGAS: no razones, no negocies, no des instrucciones.</w:t>
            </w:r>
          </w:p>
        </w:tc>
      </w:tr>
      <w:tr>
        <w:tc>
          <w:tcPr>
            <w:tcBorders>
              <w:top w:val="single" w:color="BF360C" w:sz="1"/>
              <w:left w:val="single" w:color="BF360C" w:sz="1"/>
              <w:bottom w:val="single" w:color="BF360C" w:sz="1"/>
              <w:right w:val="single" w:color="BF360C" w:sz="1"/>
            </w:tcBorders>
            <w:shd w:fill="FBE9E7" w:val="clear"/>
            <w:tcMar>
              <w:top w:type="dxa" w:w="80"/>
              <w:left w:type="dxa" w:w="160"/>
              <w:bottom w:type="dxa" w:w="80"/>
              <w:right w:type="dxa" w:w="160"/>
            </w:tcMar>
          </w:tcPr>
          <w:p>
            <w:r>
              <w:rPr>
                <w:rFonts w:ascii="Arial" w:cs="Arial" w:eastAsia="Arial" w:hAnsi="Arial"/>
                <w:color w:val="212121"/>
                <w:sz w:val="22"/>
                <w:szCs w:val="22"/>
              </w:rPr>
              <w:t xml:space="preserve">5. OFRECE (con calma, una sola vez): "¿Quieres ir al espacio de calma?" Si dice no, respeta.</w:t>
            </w:r>
          </w:p>
        </w:tc>
      </w:tr>
      <w:tr>
        <w:tc>
          <w:tcPr>
            <w:tcBorders>
              <w:top w:val="single" w:color="BF360C" w:sz="1"/>
              <w:left w:val="single" w:color="BF360C" w:sz="1"/>
              <w:bottom w:val="single" w:color="BF360C" w:sz="1"/>
              <w:right w:val="single" w:color="BF360C" w:sz="1"/>
            </w:tcBorders>
            <w:shd w:fill="FBE9E7" w:val="clear"/>
            <w:tcMar>
              <w:top w:type="dxa" w:w="80"/>
              <w:left w:type="dxa" w:w="160"/>
              <w:bottom w:type="dxa" w:w="80"/>
              <w:right w:type="dxa" w:w="160"/>
            </w:tcMar>
          </w:tcPr>
          <w:p>
            <w:r>
              <w:rPr>
                <w:rFonts w:ascii="Arial" w:cs="Arial" w:eastAsia="Arial" w:hAnsi="Arial"/>
                <w:color w:val="212121"/>
                <w:sz w:val="22"/>
                <w:szCs w:val="22"/>
              </w:rPr>
              <w:t xml:space="preserve">6. ESPERA. La crisis tiene una duración. Pasará.</w:t>
            </w:r>
          </w:p>
        </w:tc>
      </w:tr>
      <w:tr>
        <w:tc>
          <w:tcPr>
            <w:tcBorders>
              <w:top w:val="single" w:color="BF360C" w:sz="1"/>
              <w:left w:val="single" w:color="BF360C" w:sz="1"/>
              <w:bottom w:val="single" w:color="BF360C" w:sz="1"/>
              <w:right w:val="single" w:color="BF360C" w:sz="1"/>
            </w:tcBorders>
            <w:shd w:fill="FBE9E7" w:val="clear"/>
            <w:tcMar>
              <w:top w:type="dxa" w:w="80"/>
              <w:left w:type="dxa" w:w="160"/>
              <w:bottom w:type="dxa" w:w="80"/>
              <w:right w:type="dxa" w:w="160"/>
            </w:tcMar>
          </w:tcPr>
          <w:p>
            <w:r>
              <w:rPr>
                <w:rFonts w:ascii="Arial" w:cs="Arial" w:eastAsia="Arial" w:hAnsi="Arial"/>
                <w:color w:val="212121"/>
                <w:sz w:val="22"/>
                <w:szCs w:val="22"/>
              </w:rPr>
              <w:t xml:space="preserve">7. DESPUÉS: pregunta "¿Hay algo que puedas necesitar?" Registra en el RIS.</w:t>
            </w:r>
          </w:p>
        </w:tc>
      </w:tr>
    </w:tbl>
    <w:p>
      <w:pPr>
        <w:spacing w:after="120" w:before="0"/>
      </w:pPr>
      <w:r>
        <w:t xml:space="preserve"/>
      </w:r>
    </w:p>
    <w:p>
      <w:pPr>
        <w:pStyle w:val="Heading3"/>
        <w:spacing w:after="120" w:before="240"/>
      </w:pPr>
      <w:r>
        <w:rPr>
          <w:rFonts w:ascii="Arial" w:cs="Arial" w:eastAsia="Arial" w:hAnsi="Arial"/>
          <w:b/>
          <w:bCs/>
          <w:color w:val="1565C0"/>
          <w:sz w:val="26"/>
          <w:szCs w:val="26"/>
        </w:rPr>
        <w:t xml:space="preserve">Guía rápida: ¿Cómo comunicarme neuroafirmativamente?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95C" w:sz="1"/>
              <w:left w:val="single" w:color="00695C" w:sz="1"/>
              <w:bottom w:val="single" w:color="00695C" w:sz="1"/>
              <w:right w:val="single" w:color="00695C" w:sz="1"/>
            </w:tcBorders>
            <w:shd w:fill="00695C" w:val="clear"/>
            <w:tcMar>
              <w:top w:type="dxa" w:w="100"/>
              <w:left w:type="dxa" w:w="160"/>
              <w:bottom w:type="dxa" w:w="100"/>
              <w:right w:type="dxa" w:w="160"/>
            </w:tcMar>
          </w:tcPr>
          <w:p>
            <w:pPr>
              <w:jc w:val="left"/>
            </w:pPr>
            <w:r>
              <w:rPr>
                <w:rFonts w:ascii="Arial" w:cs="Arial" w:eastAsia="Arial" w:hAnsi="Arial"/>
                <w:b/>
                <w:bCs/>
                <w:color w:val="FFFFFF"/>
                <w:sz w:val="24"/>
                <w:szCs w:val="24"/>
              </w:rPr>
              <w:t xml:space="preserve">GUÍA RÁPIDA — COMUNICACIÓN NEUROAFIRMATIVA</w:t>
            </w:r>
          </w:p>
        </w:tc>
      </w:tr>
      <w:tr>
        <w:tc>
          <w:tcPr>
            <w:tcBorders>
              <w:top w:val="single" w:color="00695C" w:sz="1"/>
              <w:left w:val="single" w:color="00695C" w:sz="1"/>
              <w:bottom w:val="single" w:color="00695C" w:sz="1"/>
              <w:right w:val="single" w:color="00695C" w:sz="1"/>
            </w:tcBorders>
            <w:shd w:fill="E0F2F1" w:val="clear"/>
            <w:tcMar>
              <w:top w:type="dxa" w:w="80"/>
              <w:left w:type="dxa" w:w="160"/>
              <w:bottom w:type="dxa" w:w="80"/>
              <w:right w:type="dxa" w:w="160"/>
            </w:tcMar>
          </w:tcPr>
          <w:p>
            <w:r>
              <w:rPr>
                <w:rFonts w:ascii="Arial" w:cs="Arial" w:eastAsia="Arial" w:hAnsi="Arial"/>
                <w:color w:val="212121"/>
                <w:sz w:val="22"/>
                <w:szCs w:val="22"/>
              </w:rPr>
              <w:t xml:space="preserve">✓ Usa lenguaje directo y concreto. Di exactamente lo que quieres decir.</w:t>
            </w:r>
          </w:p>
        </w:tc>
      </w:tr>
      <w:tr>
        <w:tc>
          <w:tcPr>
            <w:tcBorders>
              <w:top w:val="single" w:color="00695C" w:sz="1"/>
              <w:left w:val="single" w:color="00695C" w:sz="1"/>
              <w:bottom w:val="single" w:color="00695C" w:sz="1"/>
              <w:right w:val="single" w:color="00695C" w:sz="1"/>
            </w:tcBorders>
            <w:shd w:fill="E0F2F1" w:val="clear"/>
            <w:tcMar>
              <w:top w:type="dxa" w:w="80"/>
              <w:left w:type="dxa" w:w="160"/>
              <w:bottom w:type="dxa" w:w="80"/>
              <w:right w:type="dxa" w:w="160"/>
            </w:tcMar>
          </w:tcPr>
          <w:p>
            <w:r>
              <w:rPr>
                <w:rFonts w:ascii="Arial" w:cs="Arial" w:eastAsia="Arial" w:hAnsi="Arial"/>
                <w:color w:val="212121"/>
                <w:sz w:val="22"/>
                <w:szCs w:val="22"/>
              </w:rPr>
              <w:t xml:space="preserve">✓ Da tiempo para responder. 30 segundos de silencio es normal.</w:t>
            </w:r>
          </w:p>
        </w:tc>
      </w:tr>
      <w:tr>
        <w:tc>
          <w:tcPr>
            <w:tcBorders>
              <w:top w:val="single" w:color="00695C" w:sz="1"/>
              <w:left w:val="single" w:color="00695C" w:sz="1"/>
              <w:bottom w:val="single" w:color="00695C" w:sz="1"/>
              <w:right w:val="single" w:color="00695C" w:sz="1"/>
            </w:tcBorders>
            <w:shd w:fill="E0F2F1" w:val="clear"/>
            <w:tcMar>
              <w:top w:type="dxa" w:w="80"/>
              <w:left w:type="dxa" w:w="160"/>
              <w:bottom w:type="dxa" w:w="80"/>
              <w:right w:type="dxa" w:w="160"/>
            </w:tcMar>
          </w:tcPr>
          <w:p>
            <w:r>
              <w:rPr>
                <w:rFonts w:ascii="Arial" w:cs="Arial" w:eastAsia="Arial" w:hAnsi="Arial"/>
                <w:color w:val="212121"/>
                <w:sz w:val="22"/>
                <w:szCs w:val="22"/>
              </w:rPr>
              <w:t xml:space="preserve">✓ Envía la información importante por escrito, aunque ya la dijiste de viva voz.</w:t>
            </w:r>
          </w:p>
        </w:tc>
      </w:tr>
      <w:tr>
        <w:tc>
          <w:tcPr>
            <w:tcBorders>
              <w:top w:val="single" w:color="00695C" w:sz="1"/>
              <w:left w:val="single" w:color="00695C" w:sz="1"/>
              <w:bottom w:val="single" w:color="00695C" w:sz="1"/>
              <w:right w:val="single" w:color="00695C" w:sz="1"/>
            </w:tcBorders>
            <w:shd w:fill="E0F2F1" w:val="clear"/>
            <w:tcMar>
              <w:top w:type="dxa" w:w="80"/>
              <w:left w:type="dxa" w:w="160"/>
              <w:bottom w:type="dxa" w:w="80"/>
              <w:right w:type="dxa" w:w="160"/>
            </w:tcMar>
          </w:tcPr>
          <w:p>
            <w:r>
              <w:rPr>
                <w:rFonts w:ascii="Arial" w:cs="Arial" w:eastAsia="Arial" w:hAnsi="Arial"/>
                <w:color w:val="212121"/>
                <w:sz w:val="22"/>
                <w:szCs w:val="22"/>
              </w:rPr>
              <w:t xml:space="preserve">✓ Describe exactamente qué quieres, cuándo y en qué formato.</w:t>
            </w:r>
          </w:p>
        </w:tc>
      </w:tr>
      <w:tr>
        <w:tc>
          <w:tcPr>
            <w:tcBorders>
              <w:top w:val="single" w:color="00695C" w:sz="1"/>
              <w:left w:val="single" w:color="00695C" w:sz="1"/>
              <w:bottom w:val="single" w:color="00695C" w:sz="1"/>
              <w:right w:val="single" w:color="00695C" w:sz="1"/>
            </w:tcBorders>
            <w:shd w:fill="E0F2F1" w:val="clear"/>
            <w:tcMar>
              <w:top w:type="dxa" w:w="80"/>
              <w:left w:type="dxa" w:w="160"/>
              <w:bottom w:type="dxa" w:w="80"/>
              <w:right w:type="dxa" w:w="160"/>
            </w:tcMar>
          </w:tcPr>
          <w:p>
            <w:r>
              <w:rPr>
                <w:rFonts w:ascii="Arial" w:cs="Arial" w:eastAsia="Arial" w:hAnsi="Arial"/>
                <w:color w:val="212121"/>
                <w:sz w:val="22"/>
                <w:szCs w:val="22"/>
              </w:rPr>
              <w:t xml:space="preserve">✗ NO: "Mírame cuando te hablo." — el contacto visual no confirma la atención.</w:t>
            </w:r>
          </w:p>
        </w:tc>
      </w:tr>
      <w:tr>
        <w:tc>
          <w:tcPr>
            <w:tcBorders>
              <w:top w:val="single" w:color="00695C" w:sz="1"/>
              <w:left w:val="single" w:color="00695C" w:sz="1"/>
              <w:bottom w:val="single" w:color="00695C" w:sz="1"/>
              <w:right w:val="single" w:color="00695C" w:sz="1"/>
            </w:tcBorders>
            <w:shd w:fill="E0F2F1" w:val="clear"/>
            <w:tcMar>
              <w:top w:type="dxa" w:w="80"/>
              <w:left w:type="dxa" w:w="160"/>
              <w:bottom w:type="dxa" w:w="80"/>
              <w:right w:type="dxa" w:w="160"/>
            </w:tcMar>
          </w:tcPr>
          <w:p>
            <w:r>
              <w:rPr>
                <w:rFonts w:ascii="Arial" w:cs="Arial" w:eastAsia="Arial" w:hAnsi="Arial"/>
                <w:color w:val="212121"/>
                <w:sz w:val="22"/>
                <w:szCs w:val="22"/>
              </w:rPr>
              <w:t xml:space="preserve">✗ NO: "Relájate" o "tranquilízate" — no ayuda y aumenta la presión.</w:t>
            </w:r>
          </w:p>
        </w:tc>
      </w:tr>
      <w:tr>
        <w:tc>
          <w:tcPr>
            <w:tcBorders>
              <w:top w:val="single" w:color="00695C" w:sz="1"/>
              <w:left w:val="single" w:color="00695C" w:sz="1"/>
              <w:bottom w:val="single" w:color="00695C" w:sz="1"/>
              <w:right w:val="single" w:color="00695C" w:sz="1"/>
            </w:tcBorders>
            <w:shd w:fill="E0F2F1" w:val="clear"/>
            <w:tcMar>
              <w:top w:type="dxa" w:w="80"/>
              <w:left w:type="dxa" w:w="160"/>
              <w:bottom w:type="dxa" w:w="80"/>
              <w:right w:type="dxa" w:w="160"/>
            </w:tcMar>
          </w:tcPr>
          <w:p>
            <w:r>
              <w:rPr>
                <w:rFonts w:ascii="Arial" w:cs="Arial" w:eastAsia="Arial" w:hAnsi="Arial"/>
                <w:color w:val="212121"/>
                <w:sz w:val="22"/>
                <w:szCs w:val="22"/>
              </w:rPr>
              <w:t xml:space="preserve">✗ NO: "¿Puedes hacer esto más tarde?" — da fecha y hora específicas.</w:t>
            </w:r>
          </w:p>
        </w:tc>
      </w:tr>
      <w:tr>
        <w:tc>
          <w:tcPr>
            <w:tcBorders>
              <w:top w:val="single" w:color="00695C" w:sz="1"/>
              <w:left w:val="single" w:color="00695C" w:sz="1"/>
              <w:bottom w:val="single" w:color="00695C" w:sz="1"/>
              <w:right w:val="single" w:color="00695C" w:sz="1"/>
            </w:tcBorders>
            <w:shd w:fill="E0F2F1" w:val="clear"/>
            <w:tcMar>
              <w:top w:type="dxa" w:w="80"/>
              <w:left w:type="dxa" w:w="160"/>
              <w:bottom w:type="dxa" w:w="80"/>
              <w:right w:type="dxa" w:w="160"/>
            </w:tcMar>
          </w:tcPr>
          <w:p>
            <w:r>
              <w:rPr>
                <w:rFonts w:ascii="Arial" w:cs="Arial" w:eastAsia="Arial" w:hAnsi="Arial"/>
                <w:color w:val="212121"/>
                <w:sz w:val="22"/>
                <w:szCs w:val="22"/>
              </w:rPr>
              <w:t xml:space="preserve">✗ NO evaluar "actitud", "disposición" o "comunicación" como competencias laborales subjetivas.</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ANEXO E — Ejercicios prácticos adicionales</w:t>
      </w:r>
    </w:p>
    <w:p>
      <w:pPr>
        <w:pStyle w:val="Heading3"/>
        <w:spacing w:after="120" w:before="240"/>
      </w:pPr>
      <w:r>
        <w:rPr>
          <w:rFonts w:ascii="Arial" w:cs="Arial" w:eastAsia="Arial" w:hAnsi="Arial"/>
          <w:b/>
          <w:bCs/>
          <w:color w:val="1565C0"/>
          <w:sz w:val="26"/>
          <w:szCs w:val="26"/>
        </w:rPr>
        <w:t xml:space="preserve">Ejercicio E1 — Auditoría de "masking cultural" (60 min, equipos)</w:t>
      </w:r>
    </w:p>
    <w:p>
      <w:pPr>
        <w:spacing w:after="60" w:before="60"/>
        <w:jc w:val="left"/>
      </w:pPr>
      <w:r>
        <w:rPr>
          <w:rFonts w:ascii="Arial" w:cs="Arial" w:eastAsia="Arial" w:hAnsi="Arial"/>
          <w:b w:val="false"/>
          <w:bCs w:val="false"/>
          <w:i w:val="false"/>
          <w:iCs w:val="false"/>
          <w:color w:val="212121"/>
          <w:sz w:val="22"/>
          <w:szCs w:val="22"/>
        </w:rPr>
        <w:t xml:space="preserve">Objetivo: Identificar normas organizacionales implícitas que exigen masking como condición de participación.</w:t>
      </w:r>
    </w:p>
    <w:p>
      <w:pPr>
        <w:spacing w:after="60" w:before="60"/>
        <w:jc w:val="left"/>
      </w:pPr>
      <w:r>
        <w:rPr>
          <w:rFonts w:ascii="Arial" w:cs="Arial" w:eastAsia="Arial" w:hAnsi="Arial"/>
          <w:b w:val="false"/>
          <w:bCs w:val="false"/>
          <w:i w:val="false"/>
          <w:iCs w:val="false"/>
          <w:color w:val="212121"/>
          <w:sz w:val="22"/>
          <w:szCs w:val="22"/>
        </w:rPr>
        <w:t xml:space="preserve">Instrucciones: El equipo lista 20 "normas no escritas" de su organización (cómo se espera que la gente actúe, se comunique, reaccione). Para cada una, evalúa: ¿Esta norma excluye a personas neurodivergentes? ¿Exige suprimir rasgos naturales? ¿Tiene una función real o es pura convención social neurotípica?</w:t>
      </w:r>
    </w:p>
    <w:p>
      <w:pPr>
        <w:spacing w:after="60" w:before="60"/>
        <w:jc w:val="left"/>
      </w:pPr>
      <w:r>
        <w:rPr>
          <w:rFonts w:ascii="Arial" w:cs="Arial" w:eastAsia="Arial" w:hAnsi="Arial"/>
          <w:b w:val="false"/>
          <w:bCs w:val="false"/>
          <w:i w:val="false"/>
          <w:iCs w:val="false"/>
          <w:color w:val="212121"/>
          <w:sz w:val="22"/>
          <w:szCs w:val="22"/>
        </w:rPr>
        <w:t xml:space="preserve">Producto: Lista de normas a modificar, con propuesta de versión neurodivergente-amigable.</w:t>
      </w:r>
    </w:p>
    <w:p>
      <w:pPr>
        <w:pStyle w:val="Heading3"/>
        <w:spacing w:after="120" w:before="240"/>
      </w:pPr>
      <w:r>
        <w:rPr>
          <w:rFonts w:ascii="Arial" w:cs="Arial" w:eastAsia="Arial" w:hAnsi="Arial"/>
          <w:b/>
          <w:bCs/>
          <w:color w:val="1565C0"/>
          <w:sz w:val="26"/>
          <w:szCs w:val="26"/>
        </w:rPr>
        <w:t xml:space="preserve">Ejercicio E2 — Tour sensorial empático (45 min, individual/parejas)</w:t>
      </w:r>
    </w:p>
    <w:p>
      <w:pPr>
        <w:spacing w:after="60" w:before="60"/>
        <w:jc w:val="left"/>
      </w:pPr>
      <w:r>
        <w:rPr>
          <w:rFonts w:ascii="Arial" w:cs="Arial" w:eastAsia="Arial" w:hAnsi="Arial"/>
          <w:b w:val="false"/>
          <w:bCs w:val="false"/>
          <w:i w:val="false"/>
          <w:iCs w:val="false"/>
          <w:color w:val="212121"/>
          <w:sz w:val="22"/>
          <w:szCs w:val="22"/>
        </w:rPr>
        <w:t xml:space="preserve">Objetivo: Experimentar el entorno desde una perspectiva de hipersensibilidad sensorial.</w:t>
      </w:r>
    </w:p>
    <w:p>
      <w:pPr>
        <w:spacing w:after="60" w:before="60"/>
        <w:jc w:val="left"/>
      </w:pPr>
      <w:r>
        <w:rPr>
          <w:rFonts w:ascii="Arial" w:cs="Arial" w:eastAsia="Arial" w:hAnsi="Arial"/>
          <w:b w:val="false"/>
          <w:bCs w:val="false"/>
          <w:i w:val="false"/>
          <w:iCs w:val="false"/>
          <w:color w:val="212121"/>
          <w:sz w:val="22"/>
          <w:szCs w:val="22"/>
        </w:rPr>
        <w:t xml:space="preserve">Instrucciones: Durante 30 minutos, el participante lleva auriculares que reproducen un ruido blanco moderado (simula hiperacusia), y realiza sus tareas habituales. Registra: ¿qué fue más difícil? ¿Qué estímulos fueron más perturbadores? ¿Qué ajustes habrían ayudado?</w:t>
      </w:r>
    </w:p>
    <w:p>
      <w:pPr>
        <w:spacing w:after="60" w:before="60"/>
        <w:jc w:val="left"/>
      </w:pPr>
      <w:r>
        <w:rPr>
          <w:rFonts w:ascii="Arial" w:cs="Arial" w:eastAsia="Arial" w:hAnsi="Arial"/>
          <w:b w:val="false"/>
          <w:bCs w:val="false"/>
          <w:i w:val="false"/>
          <w:iCs w:val="false"/>
          <w:color w:val="212121"/>
          <w:sz w:val="22"/>
          <w:szCs w:val="22"/>
        </w:rPr>
        <w:t xml:space="preserve">Reflexión: ¿Cuántos de esos ajustes están ya implementados en tu espacio?</w:t>
      </w:r>
    </w:p>
    <w:p>
      <w:pPr>
        <w:pStyle w:val="Heading3"/>
        <w:spacing w:after="120" w:before="240"/>
      </w:pPr>
      <w:r>
        <w:rPr>
          <w:rFonts w:ascii="Arial" w:cs="Arial" w:eastAsia="Arial" w:hAnsi="Arial"/>
          <w:b/>
          <w:bCs/>
          <w:color w:val="1565C0"/>
          <w:sz w:val="26"/>
          <w:szCs w:val="26"/>
        </w:rPr>
        <w:t xml:space="preserve">Ejercicio E3 — Co-diseño exprés con perspectiva neurodivergente (90 min, equipos)</w:t>
      </w:r>
    </w:p>
    <w:p>
      <w:pPr>
        <w:spacing w:after="60" w:before="60"/>
        <w:jc w:val="left"/>
      </w:pPr>
      <w:r>
        <w:rPr>
          <w:rFonts w:ascii="Arial" w:cs="Arial" w:eastAsia="Arial" w:hAnsi="Arial"/>
          <w:b w:val="false"/>
          <w:bCs w:val="false"/>
          <w:i w:val="false"/>
          <w:iCs w:val="false"/>
          <w:color w:val="212121"/>
          <w:sz w:val="22"/>
          <w:szCs w:val="22"/>
        </w:rPr>
        <w:t xml:space="preserve">Objetivo: Experimentar el co-diseño como metodología de mejora de accesibilidad.</w:t>
      </w:r>
    </w:p>
    <w:p>
      <w:pPr>
        <w:spacing w:after="60" w:before="60"/>
        <w:jc w:val="left"/>
      </w:pPr>
      <w:r>
        <w:rPr>
          <w:rFonts w:ascii="Arial" w:cs="Arial" w:eastAsia="Arial" w:hAnsi="Arial"/>
          <w:b w:val="false"/>
          <w:bCs w:val="false"/>
          <w:i w:val="false"/>
          <w:iCs w:val="false"/>
          <w:color w:val="212121"/>
          <w:sz w:val="22"/>
          <w:szCs w:val="22"/>
        </w:rPr>
        <w:t xml:space="preserve">Instrucciones: Se invita a un participante neurodivergente (del equipo o externo) a evaluar en vivo el espacio de trabajo y proponer tres mejoras concretas. El equipo escucha sin interrumpir ni justificar. Al final, se comprometen a implementar al menos una mejora en los siguientes 15 días.</w:t>
      </w:r>
    </w:p>
    <w:p>
      <w:pPr>
        <w:pageBreakBefore/>
      </w:pPr>
      <w:r>
        <w:br/>
      </w:r>
    </w:p>
    <w:p>
      <w:pPr>
        <w:pStyle w:val="Heading1"/>
        <w:pBdr>
          <w:bottom w:val="single" w:color="6A0DAD" w:sz="8" w:space="1"/>
        </w:pBdr>
        <w:spacing w:after="240" w:before="480"/>
      </w:pPr>
      <w:r>
        <w:rPr>
          <w:rFonts w:ascii="Arial" w:cs="Arial" w:eastAsia="Arial" w:hAnsi="Arial"/>
          <w:b/>
          <w:bCs/>
          <w:color w:val="4B0082"/>
          <w:sz w:val="40"/>
          <w:szCs w:val="40"/>
        </w:rPr>
        <w:t xml:space="preserve">EVALUACIÓN FINAL Y EMISIÓN DE CONSTANCIA</w:t>
      </w:r>
    </w:p>
    <w:p>
      <w:pPr>
        <w:pStyle w:val="Heading2"/>
        <w:spacing w:after="180" w:before="360"/>
      </w:pPr>
      <w:r>
        <w:rPr>
          <w:rFonts w:ascii="Arial" w:cs="Arial" w:eastAsia="Arial" w:hAnsi="Arial"/>
          <w:b/>
          <w:bCs/>
          <w:color w:val="6A0DAD"/>
          <w:sz w:val="32"/>
          <w:szCs w:val="32"/>
        </w:rPr>
        <w:t xml:space="preserve">Estructura de la evaluación final</w:t>
      </w:r>
    </w:p>
    <w:p>
      <w:pPr>
        <w:spacing w:after="60" w:before="60"/>
        <w:jc w:val="left"/>
      </w:pPr>
      <w:r>
        <w:rPr>
          <w:rFonts w:ascii="Arial" w:cs="Arial" w:eastAsia="Arial" w:hAnsi="Arial"/>
          <w:b w:val="false"/>
          <w:bCs w:val="false"/>
          <w:i w:val="false"/>
          <w:iCs w:val="false"/>
          <w:color w:val="212121"/>
          <w:sz w:val="22"/>
          <w:szCs w:val="22"/>
        </w:rPr>
        <w:t xml:space="preserve">La evaluación final del Curso CENI tiene tres componentes, todos obligatorios para obtener la constancia de participación: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r>
              <w:rPr>
                <w:rFonts w:ascii="Arial" w:cs="Arial" w:eastAsia="Arial" w:hAnsi="Arial"/>
                <w:b/>
                <w:bCs/>
                <w:color w:val="FFFFFF"/>
                <w:sz w:val="21"/>
                <w:szCs w:val="21"/>
              </w:rPr>
              <w:t xml:space="preserve">Componente de Evaluación</w:t>
            </w:r>
          </w:p>
        </w:tc>
        <w:tc>
          <w:tcPr>
            <w:tcW w:type="dxa" w:w="180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Tipo</w:t>
            </w:r>
          </w:p>
        </w:tc>
        <w:tc>
          <w:tcPr>
            <w:tcW w:type="dxa" w:w="180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Valor</w:t>
            </w:r>
          </w:p>
        </w:tc>
      </w:tr>
      <w:tr>
        <w:tc>
          <w:tcPr>
            <w:tcW w:type="dxa" w:w="576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r>
              <w:rPr>
                <w:rFonts w:ascii="Arial" w:cs="Arial" w:eastAsia="Arial" w:hAnsi="Arial"/>
                <w:color w:val="212121"/>
                <w:sz w:val="21"/>
                <w:szCs w:val="21"/>
              </w:rPr>
              <w:t xml:space="preserve">Examen integrador — 50 preguntas de opción múltiple cubriendo los 10 módulos</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color w:val="616161"/>
                <w:sz w:val="21"/>
                <w:szCs w:val="21"/>
              </w:rPr>
              <w:t xml:space="preserve">Opción múltiple</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40%</w:t>
            </w:r>
          </w:p>
        </w:tc>
      </w:tr>
      <w:tr>
        <w:tc>
          <w:tcPr>
            <w:tcW w:type="dxa" w:w="57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212121"/>
                <w:sz w:val="21"/>
                <w:szCs w:val="21"/>
              </w:rPr>
              <w:t xml:space="preserve">Caso práctico aplicado — Análisis de una organización ficticia con diagnóstico de brechas CENI y plan de mejora</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Arial" w:cs="Arial" w:eastAsia="Arial" w:hAnsi="Arial"/>
                <w:color w:val="616161"/>
                <w:sz w:val="21"/>
                <w:szCs w:val="21"/>
              </w:rPr>
              <w:t xml:space="preserve">Práctico-escrito</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40%</w:t>
            </w:r>
          </w:p>
        </w:tc>
      </w:tr>
      <w:tr>
        <w:tc>
          <w:tcPr>
            <w:tcW w:type="dxa" w:w="576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r>
              <w:rPr>
                <w:rFonts w:ascii="Arial" w:cs="Arial" w:eastAsia="Arial" w:hAnsi="Arial"/>
                <w:color w:val="212121"/>
                <w:sz w:val="21"/>
                <w:szCs w:val="21"/>
              </w:rPr>
              <w:t xml:space="preserve">Retroalimentación del curso — Formulario de evaluación de la experiencia de aprendizaje</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color w:val="616161"/>
                <w:sz w:val="21"/>
                <w:szCs w:val="21"/>
              </w:rPr>
              <w:t xml:space="preserve">Cualitativo</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20%</w:t>
            </w:r>
          </w:p>
        </w:tc>
      </w:tr>
    </w:tbl>
    <w:p>
      <w:pPr>
        <w:spacing w:after="120" w:before="0"/>
      </w:pPr>
      <w:r>
        <w:t xml:space="preserve"/>
      </w:r>
    </w:p>
    <w:p>
      <w:pPr>
        <w:spacing w:after="60" w:before="60"/>
        <w:jc w:val="left"/>
      </w:pPr>
      <w:r>
        <w:rPr>
          <w:rFonts w:ascii="Arial" w:cs="Arial" w:eastAsia="Arial" w:hAnsi="Arial"/>
          <w:b w:val="false"/>
          <w:bCs w:val="false"/>
          <w:i/>
          <w:iCs/>
          <w:color w:val="616161"/>
          <w:sz w:val="22"/>
          <w:szCs w:val="22"/>
        </w:rPr>
        <w:t xml:space="preserve">Puntaje mínimo aprobatorio total: 80%. El examen integrador puede repetirse hasta dos veces. El caso práctico es único pero puede ser revisado con retroalimentación antes de la entrega final.</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Examen integrador — Muestra de reactivos por módulo</w:t>
      </w:r>
    </w:p>
    <w:p>
      <w:pPr>
        <w:pStyle w:val="Heading3"/>
        <w:spacing w:after="120" w:before="240"/>
      </w:pPr>
      <w:r>
        <w:rPr>
          <w:rFonts w:ascii="Arial" w:cs="Arial" w:eastAsia="Arial" w:hAnsi="Arial"/>
          <w:b/>
          <w:bCs/>
          <w:color w:val="1565C0"/>
          <w:sz w:val="26"/>
          <w:szCs w:val="26"/>
        </w:rPr>
        <w:t xml:space="preserve">Módulo 1 — Neurodiversidad</w:t>
      </w:r>
    </w:p>
    <w:p>
      <w:pPr>
        <w:pStyle w:val="ListParagraph"/>
        <w:numPr>
          <w:ilvl w:val="0"/>
          <w:numId w:val="3"/>
        </w:numPr>
        <w:spacing w:after="40" w:before="40"/>
      </w:pPr>
      <w:r>
        <w:rPr>
          <w:rFonts w:ascii="Arial" w:cs="Arial" w:eastAsia="Arial" w:hAnsi="Arial"/>
          <w:color w:val="212121"/>
          <w:sz w:val="22"/>
          <w:szCs w:val="22"/>
        </w:rPr>
        <w:t xml:space="preserve">¿Cuál de los siguientes describe correctamente el paradigma neuroafirmativo? (a) La neurodivergencia es un déficit que requiere tratamiento médico (b) La neurodivergencia es una variación legítima del neurodesarrollo que el entorno debe acomodar (c) Las personas neurodivergentes deben adaptarse al entorno existente (d) La neurodivergencia solo aplica al autismo</w:t>
      </w:r>
    </w:p>
    <w:p>
      <w:pPr>
        <w:pStyle w:val="ListParagraph"/>
        <w:numPr>
          <w:ilvl w:val="0"/>
          <w:numId w:val="3"/>
        </w:numPr>
        <w:spacing w:after="40" w:before="40"/>
      </w:pPr>
      <w:r>
        <w:rPr>
          <w:rFonts w:ascii="Arial" w:cs="Arial" w:eastAsia="Arial" w:hAnsi="Arial"/>
          <w:color w:val="212121"/>
          <w:sz w:val="22"/>
          <w:szCs w:val="22"/>
        </w:rPr>
        <w:t xml:space="preserve">El stimming es: (a) Una conducta problemática que debe eliminarse (b) Una forma de manipulación conductual (c) Una respuesta neurológica de autorregulación sensorial (d) Un síntoma exclusivo del TDAH</w:t>
      </w:r>
    </w:p>
    <w:p>
      <w:pPr>
        <w:pStyle w:val="Heading3"/>
        <w:spacing w:after="120" w:before="240"/>
      </w:pPr>
      <w:r>
        <w:rPr>
          <w:rFonts w:ascii="Arial" w:cs="Arial" w:eastAsia="Arial" w:hAnsi="Arial"/>
          <w:b/>
          <w:bCs/>
          <w:color w:val="1565C0"/>
          <w:sz w:val="26"/>
          <w:szCs w:val="26"/>
        </w:rPr>
        <w:t xml:space="preserve">Módulo 2 — Comunicación</w:t>
      </w:r>
    </w:p>
    <w:p>
      <w:pPr>
        <w:pStyle w:val="ListParagraph"/>
        <w:numPr>
          <w:ilvl w:val="0"/>
          <w:numId w:val="3"/>
        </w:numPr>
        <w:spacing w:after="40" w:before="40"/>
      </w:pPr>
      <w:r>
        <w:rPr>
          <w:rFonts w:ascii="Arial" w:cs="Arial" w:eastAsia="Arial" w:hAnsi="Arial"/>
          <w:color w:val="212121"/>
          <w:sz w:val="22"/>
          <w:szCs w:val="22"/>
        </w:rPr>
        <w:t xml:space="preserve">¿Cuál de las siguientes es una forma de coerción social comunicativa? (a) Enviar la agenda por escrito antes de la reunión (b) Exigir contacto visual como demostración de respeto y atención (c) Ofrecer opción de respuesta escrita en entrevistas (d) Dar 30 segundos de tiempo antes de repetir una pregunta</w:t>
      </w:r>
    </w:p>
    <w:p>
      <w:pPr>
        <w:pStyle w:val="ListParagraph"/>
        <w:numPr>
          <w:ilvl w:val="0"/>
          <w:numId w:val="3"/>
        </w:numPr>
        <w:spacing w:after="40" w:before="40"/>
      </w:pPr>
      <w:r>
        <w:rPr>
          <w:rFonts w:ascii="Arial" w:cs="Arial" w:eastAsia="Arial" w:hAnsi="Arial"/>
          <w:color w:val="212121"/>
          <w:sz w:val="22"/>
          <w:szCs w:val="22"/>
        </w:rPr>
        <w:t xml:space="preserve">Los SAAC son: (a) Sistemas de Actuación Ante Crisis (b) Sistemas Alternativos y Aumentativos de Comunicación (c) Servicios de Apoyo Académico Certificado (d) Señales de Alerta Ante Comportamientos Complejos</w:t>
      </w:r>
    </w:p>
    <w:p>
      <w:pPr>
        <w:pStyle w:val="Heading3"/>
        <w:spacing w:after="120" w:before="240"/>
      </w:pPr>
      <w:r>
        <w:rPr>
          <w:rFonts w:ascii="Arial" w:cs="Arial" w:eastAsia="Arial" w:hAnsi="Arial"/>
          <w:b/>
          <w:bCs/>
          <w:color w:val="1565C0"/>
          <w:sz w:val="26"/>
          <w:szCs w:val="26"/>
        </w:rPr>
        <w:t xml:space="preserve">Módulo 6 — CENI Laboral</w:t>
      </w:r>
    </w:p>
    <w:p>
      <w:pPr>
        <w:pStyle w:val="ListParagraph"/>
        <w:numPr>
          <w:ilvl w:val="0"/>
          <w:numId w:val="3"/>
        </w:numPr>
        <w:spacing w:after="40" w:before="40"/>
      </w:pPr>
      <w:r>
        <w:rPr>
          <w:rFonts w:ascii="Arial" w:cs="Arial" w:eastAsia="Arial" w:hAnsi="Arial"/>
          <w:color w:val="212121"/>
          <w:sz w:val="22"/>
          <w:szCs w:val="22"/>
        </w:rPr>
        <w:t xml:space="preserve">Un candidato en un proceso de selección pide responder las preguntas por escrito. La organización certificada CENI debe: (a) Explicar que el proceso estándar requiere entrevista oral (b) Ofrecer la modalidad escrita como equivalente y válida (c) Documentar la solicitud como señal de "falta de habilidades comunicativas" (d) Redirigir al candidato a un proceso de selección especializado</w:t>
      </w:r>
    </w:p>
    <w:p>
      <w:pPr>
        <w:pStyle w:val="ListParagraph"/>
        <w:numPr>
          <w:ilvl w:val="0"/>
          <w:numId w:val="3"/>
        </w:numPr>
        <w:spacing w:after="40" w:before="40"/>
      </w:pPr>
      <w:r>
        <w:rPr>
          <w:rFonts w:ascii="Arial" w:cs="Arial" w:eastAsia="Arial" w:hAnsi="Arial"/>
          <w:color w:val="212121"/>
          <w:sz w:val="22"/>
          <w:szCs w:val="22"/>
        </w:rPr>
        <w:t xml:space="preserve">¿Cuántos puntos debe obtener una organización en CENI Laboral para alcanzar el nivel Plata? (a) 500–649 (b) 650–799 (c) 800–1,000 (d) 400–549</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Caso práctico final — Descripción</w:t>
      </w:r>
    </w:p>
    <w:p>
      <w:pPr>
        <w:pStyle w:val="Heading3"/>
        <w:spacing w:after="120" w:before="240"/>
      </w:pPr>
      <w:r>
        <w:rPr>
          <w:rFonts w:ascii="Arial" w:cs="Arial" w:eastAsia="Arial" w:hAnsi="Arial"/>
          <w:b/>
          <w:bCs/>
          <w:color w:val="1565C0"/>
          <w:sz w:val="26"/>
          <w:szCs w:val="26"/>
        </w:rPr>
        <w:t xml:space="preserve">Instrucciones</w:t>
      </w:r>
    </w:p>
    <w:p>
      <w:pPr>
        <w:spacing w:after="60" w:before="60"/>
        <w:jc w:val="left"/>
      </w:pPr>
      <w:r>
        <w:rPr>
          <w:rFonts w:ascii="Arial" w:cs="Arial" w:eastAsia="Arial" w:hAnsi="Arial"/>
          <w:b w:val="false"/>
          <w:bCs w:val="false"/>
          <w:i w:val="false"/>
          <w:iCs w:val="false"/>
          <w:color w:val="212121"/>
          <w:sz w:val="22"/>
          <w:szCs w:val="22"/>
        </w:rPr>
        <w:t xml:space="preserve">Lee la siguiente descripción de la empresa ficticia "Distribuidora Los Pinos S.A. de C.V." y realiza el análisis solicitado. El caso práctico debe entregarse en formato escrito (mínimo 1,000 palabras) o en presentación con 10–15 diapositivas.</w:t>
      </w:r>
    </w:p>
    <w:p>
      <w:pPr>
        <w:pStyle w:val="Heading3"/>
        <w:spacing w:after="120" w:before="240"/>
      </w:pPr>
      <w:r>
        <w:rPr>
          <w:rFonts w:ascii="Arial" w:cs="Arial" w:eastAsia="Arial" w:hAnsi="Arial"/>
          <w:b/>
          <w:bCs/>
          <w:color w:val="1565C0"/>
          <w:sz w:val="26"/>
          <w:szCs w:val="26"/>
        </w:rPr>
        <w:t xml:space="preserve">Caso: Distribuidora Los Pinos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16161" w:sz="1"/>
              <w:left w:val="single" w:color="616161" w:sz="1"/>
              <w:bottom w:val="single" w:color="616161" w:sz="1"/>
              <w:right w:val="single" w:color="616161" w:sz="1"/>
            </w:tcBorders>
            <w:shd w:fill="616161" w:val="clear"/>
            <w:tcMar>
              <w:top w:type="dxa" w:w="100"/>
              <w:left w:type="dxa" w:w="160"/>
              <w:bottom w:type="dxa" w:w="100"/>
              <w:right w:type="dxa" w:w="160"/>
            </w:tcMar>
          </w:tcPr>
          <w:p>
            <w:pPr>
              <w:jc w:val="left"/>
            </w:pPr>
            <w:r>
              <w:rPr>
                <w:rFonts w:ascii="Arial" w:cs="Arial" w:eastAsia="Arial" w:hAnsi="Arial"/>
                <w:b/>
                <w:bCs/>
                <w:color w:val="FFFFFF"/>
                <w:sz w:val="24"/>
                <w:szCs w:val="24"/>
              </w:rPr>
              <w:t xml:space="preserve">CASO PRÁCTICO — DISTRIBUIDORA LOS PINOS S.A. DE C.V.</w:t>
            </w:r>
          </w:p>
        </w:tc>
      </w:tr>
      <w:tr>
        <w:tc>
          <w:tcPr>
            <w:tcBorders>
              <w:top w:val="single" w:color="616161" w:sz="1"/>
              <w:left w:val="single" w:color="616161" w:sz="1"/>
              <w:bottom w:val="single" w:color="616161" w:sz="1"/>
              <w:right w:val="single" w:color="616161" w:sz="1"/>
            </w:tcBorders>
            <w:shd w:fill="F5F5F5" w:val="clear"/>
            <w:tcMar>
              <w:top w:type="dxa" w:w="80"/>
              <w:left w:type="dxa" w:w="160"/>
              <w:bottom w:type="dxa" w:w="80"/>
              <w:right w:type="dxa" w:w="160"/>
            </w:tcMar>
          </w:tcPr>
          <w:p>
            <w:r>
              <w:rPr>
                <w:rFonts w:ascii="Arial" w:cs="Arial" w:eastAsia="Arial" w:hAnsi="Arial"/>
                <w:color w:val="212121"/>
                <w:sz w:val="22"/>
                <w:szCs w:val="22"/>
              </w:rPr>
              <w:t xml:space="preserve">Distribuidora Los Pinos tiene 45 empleados. En el último año, tres colaboradores neurodivergentes (dos autistas y una persona con TDAH) han renunciado alegando "ambiente laboral hostile".</w:t>
            </w:r>
          </w:p>
        </w:tc>
      </w:tr>
      <w:tr>
        <w:tc>
          <w:tcPr>
            <w:tcBorders>
              <w:top w:val="single" w:color="616161" w:sz="1"/>
              <w:left w:val="single" w:color="616161" w:sz="1"/>
              <w:bottom w:val="single" w:color="616161" w:sz="1"/>
              <w:right w:val="single" w:color="616161" w:sz="1"/>
            </w:tcBorders>
            <w:shd w:fill="F5F5F5" w:val="clear"/>
            <w:tcMar>
              <w:top w:type="dxa" w:w="80"/>
              <w:left w:type="dxa" w:w="160"/>
              <w:bottom w:type="dxa" w:w="80"/>
              <w:right w:type="dxa" w:w="160"/>
            </w:tcMar>
          </w:tcPr>
          <w:p>
            <w:r>
              <w:rPr>
                <w:rFonts w:ascii="Arial" w:cs="Arial" w:eastAsia="Arial" w:hAnsi="Arial"/>
                <w:color w:val="212121"/>
                <w:sz w:val="22"/>
                <w:szCs w:val="22"/>
              </w:rPr>
              <w:t xml:space="preserve"/>
            </w:r>
          </w:p>
        </w:tc>
      </w:tr>
      <w:tr>
        <w:tc>
          <w:tcPr>
            <w:tcBorders>
              <w:top w:val="single" w:color="616161" w:sz="1"/>
              <w:left w:val="single" w:color="616161" w:sz="1"/>
              <w:bottom w:val="single" w:color="616161" w:sz="1"/>
              <w:right w:val="single" w:color="616161" w:sz="1"/>
            </w:tcBorders>
            <w:shd w:fill="F5F5F5" w:val="clear"/>
            <w:tcMar>
              <w:top w:type="dxa" w:w="80"/>
              <w:left w:type="dxa" w:w="160"/>
              <w:bottom w:type="dxa" w:w="80"/>
              <w:right w:type="dxa" w:w="160"/>
            </w:tcMar>
          </w:tcPr>
          <w:p>
            <w:r>
              <w:rPr>
                <w:rFonts w:ascii="Arial" w:cs="Arial" w:eastAsia="Arial" w:hAnsi="Arial"/>
                <w:color w:val="212121"/>
                <w:sz w:val="22"/>
                <w:szCs w:val="22"/>
              </w:rPr>
              <w:t xml:space="preserve">Situación actual:</w:t>
            </w:r>
          </w:p>
        </w:tc>
      </w:tr>
      <w:tr>
        <w:tc>
          <w:tcPr>
            <w:tcBorders>
              <w:top w:val="single" w:color="616161" w:sz="1"/>
              <w:left w:val="single" w:color="616161" w:sz="1"/>
              <w:bottom w:val="single" w:color="616161" w:sz="1"/>
              <w:right w:val="single" w:color="616161" w:sz="1"/>
            </w:tcBorders>
            <w:shd w:fill="F5F5F5" w:val="clear"/>
            <w:tcMar>
              <w:top w:type="dxa" w:w="80"/>
              <w:left w:type="dxa" w:w="160"/>
              <w:bottom w:type="dxa" w:w="80"/>
              <w:right w:type="dxa" w:w="160"/>
            </w:tcMar>
          </w:tcPr>
          <w:p>
            <w:r>
              <w:rPr>
                <w:rFonts w:ascii="Arial" w:cs="Arial" w:eastAsia="Arial" w:hAnsi="Arial"/>
                <w:color w:val="212121"/>
                <w:sz w:val="22"/>
                <w:szCs w:val="22"/>
              </w:rPr>
              <w:t xml:space="preserve">— Las reuniones se convocan el mismo día, sin agenda previa.</w:t>
            </w:r>
          </w:p>
        </w:tc>
      </w:tr>
      <w:tr>
        <w:tc>
          <w:tcPr>
            <w:tcBorders>
              <w:top w:val="single" w:color="616161" w:sz="1"/>
              <w:left w:val="single" w:color="616161" w:sz="1"/>
              <w:bottom w:val="single" w:color="616161" w:sz="1"/>
              <w:right w:val="single" w:color="616161" w:sz="1"/>
            </w:tcBorders>
            <w:shd w:fill="F5F5F5" w:val="clear"/>
            <w:tcMar>
              <w:top w:type="dxa" w:w="80"/>
              <w:left w:type="dxa" w:w="160"/>
              <w:bottom w:type="dxa" w:w="80"/>
              <w:right w:type="dxa" w:w="160"/>
            </w:tcMar>
          </w:tcPr>
          <w:p>
            <w:r>
              <w:rPr>
                <w:rFonts w:ascii="Arial" w:cs="Arial" w:eastAsia="Arial" w:hAnsi="Arial"/>
                <w:color w:val="212121"/>
                <w:sz w:val="22"/>
                <w:szCs w:val="22"/>
              </w:rPr>
              <w:t xml:space="preserve">— La evaluación de desempeño incluye el criterio "actitud proactiva y trabajo en equipo" (30% de la calificación).</w:t>
            </w:r>
          </w:p>
        </w:tc>
      </w:tr>
      <w:tr>
        <w:tc>
          <w:tcPr>
            <w:tcBorders>
              <w:top w:val="single" w:color="616161" w:sz="1"/>
              <w:left w:val="single" w:color="616161" w:sz="1"/>
              <w:bottom w:val="single" w:color="616161" w:sz="1"/>
              <w:right w:val="single" w:color="616161" w:sz="1"/>
            </w:tcBorders>
            <w:shd w:fill="F5F5F5" w:val="clear"/>
            <w:tcMar>
              <w:top w:type="dxa" w:w="80"/>
              <w:left w:type="dxa" w:w="160"/>
              <w:bottom w:type="dxa" w:w="80"/>
              <w:right w:type="dxa" w:w="160"/>
            </w:tcMar>
          </w:tcPr>
          <w:p>
            <w:r>
              <w:rPr>
                <w:rFonts w:ascii="Arial" w:cs="Arial" w:eastAsia="Arial" w:hAnsi="Arial"/>
                <w:color w:val="212121"/>
                <w:sz w:val="22"/>
                <w:szCs w:val="22"/>
              </w:rPr>
              <w:t xml:space="preserve">— La oficina tiene iluminación fluorescente sin regulación. La medición de ruido en áreas abiertas es de 68 dB en promedio.</w:t>
            </w:r>
          </w:p>
        </w:tc>
      </w:tr>
      <w:tr>
        <w:tc>
          <w:tcPr>
            <w:tcBorders>
              <w:top w:val="single" w:color="616161" w:sz="1"/>
              <w:left w:val="single" w:color="616161" w:sz="1"/>
              <w:bottom w:val="single" w:color="616161" w:sz="1"/>
              <w:right w:val="single" w:color="616161" w:sz="1"/>
            </w:tcBorders>
            <w:shd w:fill="F5F5F5" w:val="clear"/>
            <w:tcMar>
              <w:top w:type="dxa" w:w="80"/>
              <w:left w:type="dxa" w:w="160"/>
              <w:bottom w:type="dxa" w:w="80"/>
              <w:right w:type="dxa" w:w="160"/>
            </w:tcMar>
          </w:tcPr>
          <w:p>
            <w:r>
              <w:rPr>
                <w:rFonts w:ascii="Arial" w:cs="Arial" w:eastAsia="Arial" w:hAnsi="Arial"/>
                <w:color w:val="212121"/>
                <w:sz w:val="22"/>
                <w:szCs w:val="22"/>
              </w:rPr>
              <w:t xml:space="preserve">— No existe espacio de calma ni política de fragancia.</w:t>
            </w:r>
          </w:p>
        </w:tc>
      </w:tr>
      <w:tr>
        <w:tc>
          <w:tcPr>
            <w:tcBorders>
              <w:top w:val="single" w:color="616161" w:sz="1"/>
              <w:left w:val="single" w:color="616161" w:sz="1"/>
              <w:bottom w:val="single" w:color="616161" w:sz="1"/>
              <w:right w:val="single" w:color="616161" w:sz="1"/>
            </w:tcBorders>
            <w:shd w:fill="F5F5F5" w:val="clear"/>
            <w:tcMar>
              <w:top w:type="dxa" w:w="80"/>
              <w:left w:type="dxa" w:w="160"/>
              <w:bottom w:type="dxa" w:w="80"/>
              <w:right w:type="dxa" w:w="160"/>
            </w:tcMar>
          </w:tcPr>
          <w:p>
            <w:r>
              <w:rPr>
                <w:rFonts w:ascii="Arial" w:cs="Arial" w:eastAsia="Arial" w:hAnsi="Arial"/>
                <w:color w:val="212121"/>
                <w:sz w:val="22"/>
                <w:szCs w:val="22"/>
              </w:rPr>
              <w:t xml:space="preserve">— No hay Responsable de Neuroinclusión. El RRHH gestiona "lo que se pueda".</w:t>
            </w:r>
          </w:p>
        </w:tc>
      </w:tr>
      <w:tr>
        <w:tc>
          <w:tcPr>
            <w:tcBorders>
              <w:top w:val="single" w:color="616161" w:sz="1"/>
              <w:left w:val="single" w:color="616161" w:sz="1"/>
              <w:bottom w:val="single" w:color="616161" w:sz="1"/>
              <w:right w:val="single" w:color="616161" w:sz="1"/>
            </w:tcBorders>
            <w:shd w:fill="F5F5F5" w:val="clear"/>
            <w:tcMar>
              <w:top w:type="dxa" w:w="80"/>
              <w:left w:type="dxa" w:w="160"/>
              <w:bottom w:type="dxa" w:w="80"/>
              <w:right w:type="dxa" w:w="160"/>
            </w:tcMar>
          </w:tcPr>
          <w:p>
            <w:r>
              <w:rPr>
                <w:rFonts w:ascii="Arial" w:cs="Arial" w:eastAsia="Arial" w:hAnsi="Arial"/>
                <w:color w:val="212121"/>
                <w:sz w:val="22"/>
                <w:szCs w:val="22"/>
              </w:rPr>
              <w:t xml:space="preserve">— El proceso de selección requiere entrevista oral presencial obligatoria.</w:t>
            </w:r>
          </w:p>
        </w:tc>
      </w:tr>
      <w:tr>
        <w:tc>
          <w:tcPr>
            <w:tcBorders>
              <w:top w:val="single" w:color="616161" w:sz="1"/>
              <w:left w:val="single" w:color="616161" w:sz="1"/>
              <w:bottom w:val="single" w:color="616161" w:sz="1"/>
              <w:right w:val="single" w:color="616161" w:sz="1"/>
            </w:tcBorders>
            <w:shd w:fill="F5F5F5" w:val="clear"/>
            <w:tcMar>
              <w:top w:type="dxa" w:w="80"/>
              <w:left w:type="dxa" w:w="160"/>
              <w:bottom w:type="dxa" w:w="80"/>
              <w:right w:type="dxa" w:w="160"/>
            </w:tcMar>
          </w:tcPr>
          <w:p>
            <w:r>
              <w:rPr>
                <w:rFonts w:ascii="Arial" w:cs="Arial" w:eastAsia="Arial" w:hAnsi="Arial"/>
                <w:color w:val="212121"/>
                <w:sz w:val="22"/>
                <w:szCs w:val="22"/>
              </w:rPr>
              <w:t xml:space="preserve">— No existe ningún documento de política de neuroinclusión.</w:t>
            </w:r>
          </w:p>
        </w:tc>
      </w:tr>
      <w:tr>
        <w:tc>
          <w:tcPr>
            <w:tcBorders>
              <w:top w:val="single" w:color="616161" w:sz="1"/>
              <w:left w:val="single" w:color="616161" w:sz="1"/>
              <w:bottom w:val="single" w:color="616161" w:sz="1"/>
              <w:right w:val="single" w:color="616161" w:sz="1"/>
            </w:tcBorders>
            <w:shd w:fill="F5F5F5" w:val="clear"/>
            <w:tcMar>
              <w:top w:type="dxa" w:w="80"/>
              <w:left w:type="dxa" w:w="160"/>
              <w:bottom w:type="dxa" w:w="80"/>
              <w:right w:type="dxa" w:w="160"/>
            </w:tcMar>
          </w:tcPr>
          <w:p>
            <w:r>
              <w:rPr>
                <w:rFonts w:ascii="Arial" w:cs="Arial" w:eastAsia="Arial" w:hAnsi="Arial"/>
                <w:color w:val="212121"/>
                <w:sz w:val="22"/>
                <w:szCs w:val="22"/>
              </w:rPr>
              <w:t xml:space="preserve"/>
            </w:r>
          </w:p>
        </w:tc>
      </w:tr>
      <w:tr>
        <w:tc>
          <w:tcPr>
            <w:tcBorders>
              <w:top w:val="single" w:color="616161" w:sz="1"/>
              <w:left w:val="single" w:color="616161" w:sz="1"/>
              <w:bottom w:val="single" w:color="616161" w:sz="1"/>
              <w:right w:val="single" w:color="616161" w:sz="1"/>
            </w:tcBorders>
            <w:shd w:fill="F5F5F5" w:val="clear"/>
            <w:tcMar>
              <w:top w:type="dxa" w:w="80"/>
              <w:left w:type="dxa" w:w="160"/>
              <w:bottom w:type="dxa" w:w="80"/>
              <w:right w:type="dxa" w:w="160"/>
            </w:tcMar>
          </w:tcPr>
          <w:p>
            <w:r>
              <w:rPr>
                <w:rFonts w:ascii="Arial" w:cs="Arial" w:eastAsia="Arial" w:hAnsi="Arial"/>
                <w:color w:val="212121"/>
                <w:sz w:val="22"/>
                <w:szCs w:val="22"/>
              </w:rPr>
              <w:t xml:space="preserve">Tu tarea:</w:t>
            </w:r>
          </w:p>
        </w:tc>
      </w:tr>
      <w:tr>
        <w:tc>
          <w:tcPr>
            <w:tcBorders>
              <w:top w:val="single" w:color="616161" w:sz="1"/>
              <w:left w:val="single" w:color="616161" w:sz="1"/>
              <w:bottom w:val="single" w:color="616161" w:sz="1"/>
              <w:right w:val="single" w:color="616161" w:sz="1"/>
            </w:tcBorders>
            <w:shd w:fill="F5F5F5" w:val="clear"/>
            <w:tcMar>
              <w:top w:type="dxa" w:w="80"/>
              <w:left w:type="dxa" w:w="160"/>
              <w:bottom w:type="dxa" w:w="80"/>
              <w:right w:type="dxa" w:w="160"/>
            </w:tcMar>
          </w:tcPr>
          <w:p>
            <w:r>
              <w:rPr>
                <w:rFonts w:ascii="Arial" w:cs="Arial" w:eastAsia="Arial" w:hAnsi="Arial"/>
                <w:color w:val="212121"/>
                <w:sz w:val="22"/>
                <w:szCs w:val="22"/>
              </w:rPr>
              <w:t xml:space="preserve">1. Realiza una autoevaluación CENI Laboral estimada (puntúa cada dimensión con base en la información disponible).</w:t>
            </w:r>
          </w:p>
        </w:tc>
      </w:tr>
      <w:tr>
        <w:tc>
          <w:tcPr>
            <w:tcBorders>
              <w:top w:val="single" w:color="616161" w:sz="1"/>
              <w:left w:val="single" w:color="616161" w:sz="1"/>
              <w:bottom w:val="single" w:color="616161" w:sz="1"/>
              <w:right w:val="single" w:color="616161" w:sz="1"/>
            </w:tcBorders>
            <w:shd w:fill="F5F5F5" w:val="clear"/>
            <w:tcMar>
              <w:top w:type="dxa" w:w="80"/>
              <w:left w:type="dxa" w:w="160"/>
              <w:bottom w:type="dxa" w:w="80"/>
              <w:right w:type="dxa" w:w="160"/>
            </w:tcMar>
          </w:tcPr>
          <w:p>
            <w:r>
              <w:rPr>
                <w:rFonts w:ascii="Arial" w:cs="Arial" w:eastAsia="Arial" w:hAnsi="Arial"/>
                <w:color w:val="212121"/>
                <w:sz w:val="22"/>
                <w:szCs w:val="22"/>
              </w:rPr>
              <w:t xml:space="preserve">2. Identifica las tres brechas críticas de mayor impacto.</w:t>
            </w:r>
          </w:p>
        </w:tc>
      </w:tr>
      <w:tr>
        <w:tc>
          <w:tcPr>
            <w:tcBorders>
              <w:top w:val="single" w:color="616161" w:sz="1"/>
              <w:left w:val="single" w:color="616161" w:sz="1"/>
              <w:bottom w:val="single" w:color="616161" w:sz="1"/>
              <w:right w:val="single" w:color="616161" w:sz="1"/>
            </w:tcBorders>
            <w:shd w:fill="F5F5F5" w:val="clear"/>
            <w:tcMar>
              <w:top w:type="dxa" w:w="80"/>
              <w:left w:type="dxa" w:w="160"/>
              <w:bottom w:type="dxa" w:w="80"/>
              <w:right w:type="dxa" w:w="160"/>
            </w:tcMar>
          </w:tcPr>
          <w:p>
            <w:r>
              <w:rPr>
                <w:rFonts w:ascii="Arial" w:cs="Arial" w:eastAsia="Arial" w:hAnsi="Arial"/>
                <w:color w:val="212121"/>
                <w:sz w:val="22"/>
                <w:szCs w:val="22"/>
              </w:rPr>
              <w:t xml:space="preserve">3. Diseña un Plan de Mejora Prioritizado con 5 acciones SMART para los próximos 90 días.</w:t>
            </w:r>
          </w:p>
        </w:tc>
      </w:tr>
      <w:tr>
        <w:tc>
          <w:tcPr>
            <w:tcBorders>
              <w:top w:val="single" w:color="616161" w:sz="1"/>
              <w:left w:val="single" w:color="616161" w:sz="1"/>
              <w:bottom w:val="single" w:color="616161" w:sz="1"/>
              <w:right w:val="single" w:color="616161" w:sz="1"/>
            </w:tcBorders>
            <w:shd w:fill="F5F5F5" w:val="clear"/>
            <w:tcMar>
              <w:top w:type="dxa" w:w="80"/>
              <w:left w:type="dxa" w:w="160"/>
              <w:bottom w:type="dxa" w:w="80"/>
              <w:right w:type="dxa" w:w="160"/>
            </w:tcMar>
          </w:tcPr>
          <w:p>
            <w:r>
              <w:rPr>
                <w:rFonts w:ascii="Arial" w:cs="Arial" w:eastAsia="Arial" w:hAnsi="Arial"/>
                <w:color w:val="212121"/>
                <w:sz w:val="22"/>
                <w:szCs w:val="22"/>
              </w:rPr>
              <w:t xml:space="preserve">4. Propón el perfil del Responsable de Neuroinclusión que debería contratar Los Pinos.</w:t>
            </w:r>
          </w:p>
        </w:tc>
      </w:tr>
      <w:tr>
        <w:tc>
          <w:tcPr>
            <w:tcBorders>
              <w:top w:val="single" w:color="616161" w:sz="1"/>
              <w:left w:val="single" w:color="616161" w:sz="1"/>
              <w:bottom w:val="single" w:color="616161" w:sz="1"/>
              <w:right w:val="single" w:color="616161" w:sz="1"/>
            </w:tcBorders>
            <w:shd w:fill="F5F5F5" w:val="clear"/>
            <w:tcMar>
              <w:top w:type="dxa" w:w="80"/>
              <w:left w:type="dxa" w:w="160"/>
              <w:bottom w:type="dxa" w:w="80"/>
              <w:right w:type="dxa" w:w="160"/>
            </w:tcMar>
          </w:tcPr>
          <w:p>
            <w:r>
              <w:rPr>
                <w:rFonts w:ascii="Arial" w:cs="Arial" w:eastAsia="Arial" w:hAnsi="Arial"/>
                <w:color w:val="212121"/>
                <w:sz w:val="22"/>
                <w:szCs w:val="22"/>
              </w:rPr>
              <w:t xml:space="preserve">5. Indica qué nivel CENI podría alcanzar Los Pinos al implementar tu plan, y en cuánto tiempo.</w:t>
            </w:r>
          </w:p>
          <w:p>
            <w:pPr>
              <w:spacing w:after="60" w:before="60"/>
              <w:jc w:val="left"/>
            </w:pPr>
            <w:r>
              <w:rPr>
                <w:rFonts w:ascii="Arial" w:cs="Arial" w:eastAsia="Arial" w:hAnsi="Arial"/>
                <w:b w:val="false"/>
                <w:bCs w:val="false"/>
                <w:i w:val="false"/>
                <w:iCs w:val="false"/>
                <w:color w:val="212121"/>
                <w:sz w:val="22"/>
                <w:szCs w:val="22"/>
              </w:rPr>
              <w:t xml:space="preserve">6. Cumplimiento NOM-035: con sus 45 empleados, indica qué guías de la NOM-035 le aplican, qué obligaciones incumple hoy (política, identificación y análisis de factores de riesgo, mecanismo de quejas por violencia laboral) y cómo tu plan CENI genera evidencia para cumplirlas.</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Emisión de constancia</w:t>
      </w:r>
    </w:p>
    <w:p>
      <w:pPr>
        <w:spacing w:after="60" w:before="60"/>
        <w:jc w:val="left"/>
      </w:pPr>
      <w:r>
        <w:rPr>
          <w:rFonts w:ascii="Arial" w:cs="Arial" w:eastAsia="Arial" w:hAnsi="Arial"/>
          <w:b w:val="false"/>
          <w:bCs w:val="false"/>
          <w:i w:val="false"/>
          <w:iCs w:val="false"/>
          <w:color w:val="212121"/>
          <w:sz w:val="22"/>
          <w:szCs w:val="22"/>
        </w:rPr>
        <w:t xml:space="preserve">Una vez aprobada la evaluación final con un puntaje de 80% o superior en todos los componentes, Alianza Índigo Neurodivergente A.C. emite:</w:t>
      </w:r>
    </w:p>
    <w:p>
      <w:pPr>
        <w:pStyle w:val="ListParagraph"/>
        <w:numPr>
          <w:ilvl w:val="0"/>
          <w:numId w:val="2"/>
        </w:numPr>
        <w:spacing w:after="40" w:before="40"/>
      </w:pPr>
      <w:r>
        <w:rPr>
          <w:rFonts w:ascii="Arial" w:cs="Arial" w:eastAsia="Arial" w:hAnsi="Arial"/>
          <w:color w:val="4B0082"/>
          <w:sz w:val="22"/>
          <w:szCs w:val="22"/>
        </w:rPr>
        <w:t xml:space="preserve">Constancia digital de participación con folio verificable en línea</w:t>
      </w:r>
    </w:p>
    <w:p>
      <w:pPr>
        <w:pStyle w:val="ListParagraph"/>
        <w:numPr>
          <w:ilvl w:val="0"/>
          <w:numId w:val="2"/>
        </w:numPr>
        <w:spacing w:after="40" w:before="40"/>
      </w:pPr>
      <w:r>
        <w:rPr>
          <w:rFonts w:ascii="Arial" w:cs="Arial" w:eastAsia="Arial" w:hAnsi="Arial"/>
          <w:color w:val="4B0082"/>
          <w:sz w:val="22"/>
          <w:szCs w:val="22"/>
        </w:rPr>
        <w:t xml:space="preserve">Nombre completo del participante, nombre de la organización, fecha de emisión y vigencia (2 años)</w:t>
      </w:r>
    </w:p>
    <w:p>
      <w:pPr>
        <w:pStyle w:val="ListParagraph"/>
        <w:numPr>
          <w:ilvl w:val="0"/>
          <w:numId w:val="2"/>
        </w:numPr>
        <w:spacing w:after="40" w:before="40"/>
      </w:pPr>
      <w:r>
        <w:rPr>
          <w:rFonts w:ascii="Arial" w:cs="Arial" w:eastAsia="Arial" w:hAnsi="Arial"/>
          <w:color w:val="4B0082"/>
          <w:sz w:val="22"/>
          <w:szCs w:val="22"/>
        </w:rPr>
        <w:t xml:space="preserve">Código QR de verificación que lleva al registro público de personas certificadas CENI</w:t>
      </w:r>
    </w:p>
    <w:p>
      <w:pPr>
        <w:pStyle w:val="ListParagraph"/>
        <w:numPr>
          <w:ilvl w:val="0"/>
          <w:numId w:val="2"/>
        </w:numPr>
        <w:spacing w:after="40" w:before="40"/>
      </w:pPr>
      <w:r>
        <w:rPr>
          <w:rFonts w:ascii="Arial" w:cs="Arial" w:eastAsia="Arial" w:hAnsi="Arial"/>
          <w:color w:val="4B0082"/>
          <w:sz w:val="22"/>
          <w:szCs w:val="22"/>
        </w:rPr>
        <w:t xml:space="preserve">Insignia digital para firma de correo y LinkedIn</w:t>
      </w:r>
    </w:p>
    <w:p>
      <w:pPr>
        <w:spacing w:after="120" w:before="0"/>
      </w:pPr>
      <w:r>
        <w:t xml:space="preserve"/>
      </w:r>
    </w:p>
    <w:p>
      <w:pPr>
        <w:spacing w:after="60" w:before="60"/>
        <w:jc w:val="left"/>
      </w:pPr>
      <w:r>
        <w:rPr>
          <w:rFonts w:ascii="Arial" w:cs="Arial" w:eastAsia="Arial" w:hAnsi="Arial"/>
          <w:b w:val="false"/>
          <w:bCs w:val="false"/>
          <w:i w:val="false"/>
          <w:iCs w:val="false"/>
          <w:color w:val="212121"/>
          <w:sz w:val="22"/>
          <w:szCs w:val="22"/>
        </w:rPr>
        <w:t xml:space="preserve">Las constancias de grupos corporativos (10 o más personas de la misma organización) incluyen adicionalmente un Informe de Capacitación Grupal con estadísticas de desempeño por módulo, útil para el expediente CENI de la organización.</w:t>
      </w:r>
    </w:p>
    <w:p>
      <w:pPr>
        <w:spacing w:after="120" w:before="0"/>
      </w:pPr>
      <w:r>
        <w:t xml:space="preserve"/>
      </w:r>
    </w:p>
    <w:p>
      <w:pPr>
        <w:pBdr>
          <w:bottom w:val="single" w:color="E0E0E0" w:sz="4" w:space="1"/>
        </w:pBdr>
        <w:spacing w:after="120" w:before="120"/>
      </w:pPr>
      <w:r>
        <w:t xml:space="preserve"/>
      </w:r>
    </w:p>
    <w:p>
      <w:pPr>
        <w:pStyle w:val="Heading2"/>
        <w:spacing w:after="180" w:before="360"/>
      </w:pPr>
      <w:r>
        <w:rPr>
          <w:rFonts w:ascii="Arial" w:cs="Arial" w:eastAsia="Arial" w:hAnsi="Arial"/>
          <w:b/>
          <w:bCs/>
          <w:color w:val="6A0DAD"/>
          <w:sz w:val="32"/>
          <w:szCs w:val="32"/>
        </w:rPr>
        <w:t xml:space="preserve">Actualización anual</w:t>
      </w:r>
    </w:p>
    <w:p>
      <w:pPr>
        <w:spacing w:after="60" w:before="60"/>
        <w:jc w:val="left"/>
      </w:pPr>
      <w:r>
        <w:rPr>
          <w:rFonts w:ascii="Arial" w:cs="Arial" w:eastAsia="Arial" w:hAnsi="Arial"/>
          <w:b w:val="false"/>
          <w:bCs w:val="false"/>
          <w:i w:val="false"/>
          <w:iCs w:val="false"/>
          <w:color w:val="212121"/>
          <w:sz w:val="22"/>
          <w:szCs w:val="22"/>
        </w:rPr>
        <w:t xml:space="preserve">La constancia CENI tiene vigencia de dos años. La actualización anual de 4 horas extiende la vigencia un año adicional; si la constancia vence sin actualización, debe repetirse el programa completo de 16 horas. Para renovarla, el participante debe completar el Curso de Actualización CENI (4 horas), que cubre:</w:t>
      </w:r>
    </w:p>
    <w:p>
      <w:pPr>
        <w:pStyle w:val="ListParagraph"/>
        <w:numPr>
          <w:ilvl w:val="0"/>
          <w:numId w:val="2"/>
        </w:numPr>
        <w:spacing w:after="40" w:before="40"/>
      </w:pPr>
      <w:r>
        <w:rPr>
          <w:rFonts w:ascii="Arial" w:cs="Arial" w:eastAsia="Arial" w:hAnsi="Arial"/>
          <w:color w:val="212121"/>
          <w:sz w:val="22"/>
          <w:szCs w:val="22"/>
        </w:rPr>
        <w:t xml:space="preserve">Novedades en los lineamientos CENI</w:t>
      </w:r>
    </w:p>
    <w:p>
      <w:pPr>
        <w:pStyle w:val="ListParagraph"/>
        <w:numPr>
          <w:ilvl w:val="0"/>
          <w:numId w:val="2"/>
        </w:numPr>
        <w:spacing w:after="40" w:before="40"/>
      </w:pPr>
      <w:r>
        <w:rPr>
          <w:rFonts w:ascii="Arial" w:cs="Arial" w:eastAsia="Arial" w:hAnsi="Arial"/>
          <w:color w:val="212121"/>
          <w:sz w:val="22"/>
          <w:szCs w:val="22"/>
        </w:rPr>
        <w:t xml:space="preserve">Nuevas herramientas y recursos de accesibilidad</w:t>
      </w:r>
    </w:p>
    <w:p>
      <w:pPr>
        <w:pStyle w:val="ListParagraph"/>
        <w:numPr>
          <w:ilvl w:val="0"/>
          <w:numId w:val="2"/>
        </w:numPr>
        <w:spacing w:after="40" w:before="40"/>
      </w:pPr>
      <w:r>
        <w:rPr>
          <w:rFonts w:ascii="Arial" w:cs="Arial" w:eastAsia="Arial" w:hAnsi="Arial"/>
          <w:color w:val="212121"/>
          <w:sz w:val="22"/>
          <w:szCs w:val="22"/>
        </w:rPr>
        <w:t xml:space="preserve">Actualización del marco legal aplicable</w:t>
      </w:r>
    </w:p>
    <w:p>
      <w:pPr>
        <w:pStyle w:val="ListParagraph"/>
        <w:numPr>
          <w:ilvl w:val="0"/>
          <w:numId w:val="2"/>
        </w:numPr>
        <w:spacing w:after="40" w:before="40"/>
      </w:pPr>
      <w:r>
        <w:rPr>
          <w:rFonts w:ascii="Arial" w:cs="Arial" w:eastAsia="Arial" w:hAnsi="Arial"/>
          <w:color w:val="212121"/>
          <w:sz w:val="22"/>
          <w:szCs w:val="22"/>
        </w:rPr>
        <w:t xml:space="preserve">Un caso práctico de la categoría del participante con retroalimentación</w:t>
      </w:r>
    </w:p>
    <w:p>
      <w:pPr>
        <w:spacing w:after="120" w:before="0"/>
      </w:pPr>
      <w:r>
        <w:t xml:space="preserve"/>
      </w:r>
    </w:p>
    <w:p>
      <w:pPr>
        <w:spacing w:after="60" w:before="60"/>
        <w:jc w:val="left"/>
      </w:pPr>
      <w:r>
        <w:rPr>
          <w:rFonts w:ascii="Arial" w:cs="Arial" w:eastAsia="Arial" w:hAnsi="Arial"/>
          <w:b w:val="false"/>
          <w:bCs w:val="false"/>
          <w:i w:val="false"/>
          <w:iCs w:val="false"/>
          <w:color w:val="212121"/>
          <w:sz w:val="22"/>
          <w:szCs w:val="22"/>
        </w:rPr>
        <w:t xml:space="preserve">La actualización anual mantiene la vigencia de las constancias individuales y es requisito para que la organización mantenga el cumplimiento del criterio D6-C4 (CENI Laboral) o E6-C1 (CENI Espacios) en materia de capacitación del personal de gestión.</w:t>
      </w:r>
    </w:p>
    <w:p>
      <w:pPr>
        <w:pageBreakBefore/>
      </w:pPr>
      <w:r>
        <w:br/>
      </w:r>
    </w:p>
    <w:p>
      <w:pPr>
        <w:pStyle w:val="Heading1"/>
        <w:pBdr>
          <w:bottom w:val="single" w:color="6A0DAD" w:sz="8" w:space="1"/>
        </w:pBdr>
        <w:spacing w:after="240" w:before="480"/>
      </w:pPr>
      <w:r>
        <w:rPr>
          <w:rFonts w:ascii="Arial" w:cs="Arial" w:eastAsia="Arial" w:hAnsi="Arial"/>
          <w:b/>
          <w:bCs/>
          <w:color w:val="4B0082"/>
          <w:sz w:val="40"/>
          <w:szCs w:val="40"/>
        </w:rPr>
        <w:t xml:space="preserve">GLOSARIO OFICIAL DE TÉRMINOS CENI</w:t>
      </w:r>
    </w:p>
    <w:p>
      <w:pPr>
        <w:spacing w:after="60" w:before="60"/>
        <w:jc w:val="left"/>
      </w:pPr>
      <w:r>
        <w:rPr>
          <w:rFonts w:ascii="Arial" w:cs="Arial" w:eastAsia="Arial" w:hAnsi="Arial"/>
          <w:b w:val="false"/>
          <w:bCs w:val="false"/>
          <w:i w:val="false"/>
          <w:iCs w:val="false"/>
          <w:color w:val="212121"/>
          <w:sz w:val="22"/>
          <w:szCs w:val="22"/>
        </w:rPr>
        <w:t xml:space="preserve">Todos los términos del presente glosario se usan con el significado aquí definido en todos los instrumentos, lineamientos y documentos del programa CENI y de Alianza Índigo Neurodivergente A.C.</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Ajuste razonable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Toda modificación o adaptación necesaria y adecuada que no imponga una carga desproporcionada, realizada para garantizar que la persona neurodivergente pueda ejercer sus derechos en igualdad de condiciones. (CDPD, Art. 2)</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Auditor CENI</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Persona certificada por Alianza Índigo Neurodivergente A.C. para realizar evaluaciones externas de certificación CENI, sin relación laboral, comercial o familiar con la organización evaluada. Todo equipo auditor incluye obligatoriamente al menos una persona neurodivergente (Par Evaluador), cuya autoidentificación es suficiente, sin requerir diagnóstico ni título universitario.</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Burnout autista</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Estado de agotamiento severo resultante de la práctica sostenida del masking y la sobrecarga sensorial o cognitiva, caracterizado por pérdida de habilidades funcionales, mayor sensibilidad sensorial, agotamiento extremo y, frecuentemente, estados disociativos.</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CENI</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Certificación de Entornos Neuroinclusivos. Sistema de evaluación, certificación y mejora continua desarrollado por Alianza Índigo Neurodivergente A.C.</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CENI Espacios</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Línea de certificación CENI aplicable a espacios físicos y virtuales donde personas neurodivergentes acceden como usuarias, clientes, pacientes o ciudadanas.</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CENI Laboral</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Línea de certificación CENI aplicable a centros de trabajo de cualquier sector y tamaño, evaluando las condiciones de incorporación, permanencia y desarrollo de personas neurodivergentes.</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Coerción social comunicativa</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Toda práctica que condiciona la participación, evaluación o valoración de una persona a la demostración de comportamientos comunicativos neurotípicos. Es una forma de discriminación sistemática.</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Control de convencionalidad</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Obligación de todas las autoridades de verificar que sus actos y normas sean compatibles con los tratados internacionales de derechos humanos ratificados por México.</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Derechos Índigo</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Los seis derechos de cuarta generación que protegen la existencia neurodivergente en su integralidad, desarrollados por Alianza Índigo Neurodivergente A.C.</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Diseño Universal</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Enfoque de diseño que busca crear productos, entornos, programas y servicios accesibles para todas las personas, en la mayor medida posible, sin necesidad de adaptación ni diseño especializado.</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DUA (Diseño Universal para el Aprendizaje)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Marco pedagógico que propone flexibilizar los medios de representación, acción/expresión y motivación en el aprendizaje para garantizar el acceso universal.</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Enmascaramiento (masking)</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Proceso por el cual una persona neurodivergente suprime o camufla sus rasgos neurodivergentes naturales para cumplir expectativas sociales neurotípicas.</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Espacio de calma</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Área específicamente diseñada para que personas neurodivergentes —o cualquier persona— puedan autorregularse de manera segura, con estímulos reducidos y libre acceso.</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FMEA de accesibilidad</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Aplicación de la metodología de Análisis de Modos y Efectos de Falla (FMEA) para identificar y priorizar barreras de accesibilidad neurodivergente en procesos y espacios.</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Horario de baja estimulación</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Periodos específicos del día o de la semana en que un espacio reduce intencionalmente sus estímulos sensoriales (música, iluminación, afluencia) para favorecer el acceso neurodivergente.</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Kit sensorial</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Conjunto de herramientas de autorregulación sensorial (auriculares, fidgets, texturas, gafas de baja estimulación) disponibles de libre acceso en un entorno certificado CENI.</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Lenguaje neuroafirmativo</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Forma de comunicación que reconoce la neurodivergencia como variación legítima, evita la patologización y centra la persona antes que el diagnóstico.</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Lectura Fácil</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Método de adaptación de textos que los hace más accesibles para personas con dificultades de comprensión lectora, usando frases cortas, vocabulario simple y apoyos visuales.</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Mapa sensorial</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Representación visual de un espacio que indica niveles de ruido, iluminación, olores, temperatura y densidad de personas por zona, así como la ubicación de recursos de accesibilidad.</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Masking</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Ver Enmascaramiento.</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Meltdown</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Crisis de activación neurológica en que el sistema nervioso alcanza su límite de procesamiento y se activa explosivamente. No es un capricho ni una conducta manipuladora.</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Mystery client neurodivergente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Persona neurodivergente certificada que evalúa de manera anónima la experiencia de usuario en un espacio o servicio, usando el instrumento oficial CENI.</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Neurodivergencia</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Condición de tener una neurología que difiere del patrón estadísticamente mayoritario de manera que afecta el procesamiento de información, la comunicación, el aprendizaje o la experiencia sensorial.</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Neurodiversidad</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Hecho biológico de que los cerebros humanos presentan variaciones naturales en su funcionamiento. No es un sinónimo de discapacidad ni de trastorno.</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Neurotipicidad</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Condición de tener una neurología que sigue el patrón estadísticamente dominante en la especie humana.</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PMCN</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Plan de Mejora Continua de Neuroinclusión. Instrumento de gestión que conecta los resultados de auditorías y retroalimentación con acciones concretas de mejora.</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Responsable de Neuroinclusión (RN)</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Figura institucional designada formalmente para garantizar la operación del sistema de neuroinclusión de la organización.</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RIN (Reglamento Interno de Neuroinclusión)</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Documento normativo que establece derechos, obligaciones, protocolos y sanciones en materia de neuroinclusión dentro de una organización laboral.</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RIS (Registro de Incidentes Sensoriales)</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Formato de documentación de crisis sensoriales ocurridas en el espacio, incluyendo fecha, desencadenante probable, protocolo aplicado y propuesta de ajuste preventivo.</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SAAC</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Sistemas Alternativos y Aumentativos de Comunicación. Métodos de comunicación que complementan o reemplazan el lenguaje verbal oral.</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Shutdown</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Crisis de desconexión neurológica en que el sistema nervioso se apaga en respuesta a la sobrecarga, manifestándose como inmovilidad, mutismo y ausencia de respuesta.</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Stimming (autoestimulación)</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Comportamiento repetitivo, rítmico o sensorial que una persona neurodivergente realiza para regular su sistema nervioso. Es funcional y no debe ser suprimido.</w:t>
            </w:r>
          </w:p>
        </w:tc>
      </w:tr>
    </w:tbl>
    <w:p>
      <w:pPr>
        <w:pageBreakBefore/>
      </w:pPr>
      <w:r>
        <w:br/>
      </w:r>
    </w:p>
    <w:p>
      <w:pPr>
        <w:pStyle w:val="Heading1"/>
        <w:pBdr>
          <w:bottom w:val="single" w:color="6A0DAD" w:sz="8" w:space="1"/>
        </w:pBdr>
        <w:spacing w:after="240" w:before="480"/>
      </w:pPr>
      <w:r>
        <w:rPr>
          <w:rFonts w:ascii="Arial" w:cs="Arial" w:eastAsia="Arial" w:hAnsi="Arial"/>
          <w:b/>
          <w:bCs/>
          <w:color w:val="4B0082"/>
          <w:sz w:val="40"/>
          <w:szCs w:val="40"/>
        </w:rPr>
        <w:t xml:space="preserve">REFERENCIAS Y MARCO DOCUMENTAL</w:t>
      </w:r>
    </w:p>
    <w:p>
      <w:pPr>
        <w:pStyle w:val="Heading2"/>
        <w:spacing w:after="180" w:before="360"/>
      </w:pPr>
      <w:r>
        <w:rPr>
          <w:rFonts w:ascii="Arial" w:cs="Arial" w:eastAsia="Arial" w:hAnsi="Arial"/>
          <w:b/>
          <w:bCs/>
          <w:color w:val="6A0DAD"/>
          <w:sz w:val="32"/>
          <w:szCs w:val="32"/>
        </w:rPr>
        <w:t xml:space="preserve">Instrumentos internacionales</w:t>
      </w:r>
    </w:p>
    <w:p>
      <w:pPr>
        <w:pStyle w:val="ListParagraph"/>
        <w:numPr>
          <w:ilvl w:val="0"/>
          <w:numId w:val="2"/>
        </w:numPr>
        <w:spacing w:after="40" w:before="40"/>
      </w:pPr>
      <w:r>
        <w:rPr>
          <w:rFonts w:ascii="Arial" w:cs="Arial" w:eastAsia="Arial" w:hAnsi="Arial"/>
          <w:color w:val="212121"/>
          <w:sz w:val="22"/>
          <w:szCs w:val="22"/>
        </w:rPr>
        <w:t xml:space="preserve">Convención sobre los Derechos de las Personas con Discapacidad (CDPD). ONU, 2006. Ratificada por México el 17 de diciembre de 2007.</w:t>
      </w:r>
    </w:p>
    <w:p>
      <w:pPr>
        <w:pStyle w:val="ListParagraph"/>
        <w:numPr>
          <w:ilvl w:val="0"/>
          <w:numId w:val="2"/>
        </w:numPr>
        <w:spacing w:after="40" w:before="40"/>
      </w:pPr>
      <w:r>
        <w:rPr>
          <w:rFonts w:ascii="Arial" w:cs="Arial" w:eastAsia="Arial" w:hAnsi="Arial"/>
          <w:color w:val="212121"/>
          <w:sz w:val="22"/>
          <w:szCs w:val="22"/>
        </w:rPr>
        <w:t xml:space="preserve">Convención sobre los Derechos del Niño (CDN). ONU, 1989.</w:t>
      </w:r>
    </w:p>
    <w:p>
      <w:pPr>
        <w:pStyle w:val="ListParagraph"/>
        <w:numPr>
          <w:ilvl w:val="0"/>
          <w:numId w:val="2"/>
        </w:numPr>
        <w:spacing w:after="40" w:before="40"/>
      </w:pPr>
      <w:r>
        <w:rPr>
          <w:rFonts w:ascii="Arial" w:cs="Arial" w:eastAsia="Arial" w:hAnsi="Arial"/>
          <w:color w:val="212121"/>
          <w:sz w:val="22"/>
          <w:szCs w:val="22"/>
        </w:rPr>
        <w:t xml:space="preserve">Convención Americana sobre Derechos Humanos (Pacto de San José). OEA, 1969.</w:t>
      </w:r>
    </w:p>
    <w:p>
      <w:pPr>
        <w:pStyle w:val="ListParagraph"/>
        <w:numPr>
          <w:ilvl w:val="0"/>
          <w:numId w:val="2"/>
        </w:numPr>
        <w:spacing w:after="40" w:before="40"/>
      </w:pPr>
      <w:r>
        <w:rPr>
          <w:rFonts w:ascii="Arial" w:cs="Arial" w:eastAsia="Arial" w:hAnsi="Arial"/>
          <w:color w:val="212121"/>
          <w:sz w:val="22"/>
          <w:szCs w:val="22"/>
        </w:rPr>
        <w:t xml:space="preserve">Protocolo adicional a la Convención Americana sobre Derechos Humanos en materia de Derechos Económicos, Sociales y Culturales (Protocolo de San Salvador). OEA, 1988.</w:t>
      </w:r>
    </w:p>
    <w:p>
      <w:pPr>
        <w:pStyle w:val="Heading2"/>
        <w:spacing w:after="180" w:before="360"/>
      </w:pPr>
      <w:r>
        <w:rPr>
          <w:rFonts w:ascii="Arial" w:cs="Arial" w:eastAsia="Arial" w:hAnsi="Arial"/>
          <w:b/>
          <w:bCs/>
          <w:color w:val="6A0DAD"/>
          <w:sz w:val="32"/>
          <w:szCs w:val="32"/>
        </w:rPr>
        <w:t xml:space="preserve">Marco legal nacional</w:t>
      </w:r>
    </w:p>
    <w:p>
      <w:pPr>
        <w:pStyle w:val="ListParagraph"/>
        <w:numPr>
          <w:ilvl w:val="0"/>
          <w:numId w:val="2"/>
        </w:numPr>
        <w:spacing w:after="40" w:before="40"/>
      </w:pPr>
      <w:r>
        <w:rPr>
          <w:rFonts w:ascii="Arial" w:cs="Arial" w:eastAsia="Arial" w:hAnsi="Arial"/>
          <w:color w:val="212121"/>
          <w:sz w:val="22"/>
          <w:szCs w:val="22"/>
        </w:rPr>
        <w:t xml:space="preserve">Constitución Política de los Estados Unidos Mexicanos, especialmente artículos 1°, 4° y 133.</w:t>
      </w:r>
    </w:p>
    <w:p>
      <w:pPr>
        <w:pStyle w:val="ListParagraph"/>
        <w:numPr>
          <w:ilvl w:val="0"/>
          <w:numId w:val="2"/>
        </w:numPr>
        <w:spacing w:after="40" w:before="40"/>
      </w:pPr>
      <w:r>
        <w:rPr>
          <w:rFonts w:ascii="Arial" w:cs="Arial" w:eastAsia="Arial" w:hAnsi="Arial"/>
          <w:color w:val="212121"/>
          <w:sz w:val="22"/>
          <w:szCs w:val="22"/>
        </w:rPr>
        <w:t xml:space="preserve">Ley General para la Inclusión de las Personas con Discapacidad. DOF: 30 de mayo de 2011.</w:t>
      </w:r>
    </w:p>
    <w:p>
      <w:pPr>
        <w:pStyle w:val="ListParagraph"/>
        <w:numPr>
          <w:ilvl w:val="0"/>
          <w:numId w:val="2"/>
        </w:numPr>
        <w:spacing w:after="40" w:before="40"/>
      </w:pPr>
      <w:r>
        <w:rPr>
          <w:rFonts w:ascii="Arial" w:cs="Arial" w:eastAsia="Arial" w:hAnsi="Arial"/>
          <w:color w:val="212121"/>
          <w:sz w:val="22"/>
          <w:szCs w:val="22"/>
        </w:rPr>
        <w:t xml:space="preserve">Ley Federal para Prevenir y Eliminar la Discriminación. DOF: 11 de junio de 2003.</w:t>
      </w:r>
    </w:p>
    <w:p>
      <w:pPr>
        <w:pStyle w:val="ListParagraph"/>
        <w:numPr>
          <w:ilvl w:val="0"/>
          <w:numId w:val="2"/>
        </w:numPr>
        <w:spacing w:after="40" w:before="40"/>
      </w:pPr>
      <w:r>
        <w:rPr>
          <w:rFonts w:ascii="Arial" w:cs="Arial" w:eastAsia="Arial" w:hAnsi="Arial"/>
          <w:color w:val="212121"/>
          <w:sz w:val="22"/>
          <w:szCs w:val="22"/>
        </w:rPr>
        <w:t xml:space="preserve">Ley General de Educación. DOF: 30 de septiembre de 2019.</w:t>
      </w:r>
    </w:p>
    <w:p>
      <w:pPr>
        <w:pStyle w:val="ListParagraph"/>
        <w:numPr>
          <w:ilvl w:val="0"/>
          <w:numId w:val="2"/>
        </w:numPr>
        <w:spacing w:after="40" w:before="40"/>
      </w:pPr>
      <w:r>
        <w:rPr>
          <w:rFonts w:ascii="Arial" w:cs="Arial" w:eastAsia="Arial" w:hAnsi="Arial"/>
          <w:color w:val="212121"/>
          <w:sz w:val="22"/>
          <w:szCs w:val="22"/>
        </w:rPr>
        <w:t xml:space="preserve">NOM-035-STPS-2018, Factores de riesgo psicosocial en el trabajo — Identificación, análisis y prevención. DOF: 23 de octubre de 2018.</w:t>
      </w:r>
    </w:p>
    <w:p>
      <w:pPr>
        <w:pStyle w:val="ListParagraph"/>
        <w:numPr>
          <w:ilvl w:val="0"/>
          <w:numId w:val="2"/>
        </w:numPr>
        <w:spacing w:after="40" w:before="40"/>
      </w:pPr>
      <w:r>
        <w:rPr>
          <w:rFonts w:ascii="Arial" w:cs="Arial" w:eastAsia="Arial" w:hAnsi="Arial"/>
          <w:color w:val="212121"/>
          <w:sz w:val="22"/>
          <w:szCs w:val="22"/>
        </w:rPr>
        <w:t xml:space="preserve">Ley Federal del Trabajo, especialmente artículos 2, 56 Bis y 133.</w:t>
      </w:r>
    </w:p>
    <w:p>
      <w:pPr>
        <w:pStyle w:val="Heading2"/>
        <w:spacing w:after="180" w:before="360"/>
      </w:pPr>
      <w:r>
        <w:rPr>
          <w:rFonts w:ascii="Arial" w:cs="Arial" w:eastAsia="Arial" w:hAnsi="Arial"/>
          <w:b/>
          <w:bCs/>
          <w:color w:val="6A0DAD"/>
          <w:sz w:val="32"/>
          <w:szCs w:val="32"/>
        </w:rPr>
        <w:t xml:space="preserve">Marco Alianza Índigo</w:t>
      </w:r>
    </w:p>
    <w:p>
      <w:pPr>
        <w:pStyle w:val="ListParagraph"/>
        <w:numPr>
          <w:ilvl w:val="0"/>
          <w:numId w:val="2"/>
        </w:numPr>
        <w:spacing w:after="40" w:before="40"/>
      </w:pPr>
      <w:r>
        <w:rPr>
          <w:rFonts w:ascii="Arial" w:cs="Arial" w:eastAsia="Arial" w:hAnsi="Arial"/>
          <w:color w:val="212121"/>
          <w:sz w:val="22"/>
          <w:szCs w:val="22"/>
        </w:rPr>
        <w:t xml:space="preserve">Alianza Índigo Neurodivergente A.C. Lineamientos CENI v3.1 — Capítulo I: CENI Laboral. 2026.</w:t>
      </w:r>
    </w:p>
    <w:p>
      <w:pPr>
        <w:pStyle w:val="ListParagraph"/>
        <w:numPr>
          <w:ilvl w:val="0"/>
          <w:numId w:val="2"/>
        </w:numPr>
        <w:spacing w:after="40" w:before="40"/>
      </w:pPr>
      <w:r>
        <w:rPr>
          <w:rFonts w:ascii="Arial" w:cs="Arial" w:eastAsia="Arial" w:hAnsi="Arial"/>
          <w:color w:val="212121"/>
          <w:sz w:val="22"/>
          <w:szCs w:val="22"/>
        </w:rPr>
        <w:t xml:space="preserve">Alianza Índigo Neurodivergente A.C. Lineamientos CENI v3.1 — Capítulo II: CENI Espacios. 2026.</w:t>
      </w:r>
    </w:p>
    <w:p>
      <w:pPr>
        <w:pStyle w:val="ListParagraph"/>
        <w:numPr>
          <w:ilvl w:val="0"/>
          <w:numId w:val="2"/>
        </w:numPr>
        <w:spacing w:after="40" w:before="40"/>
      </w:pPr>
      <w:r>
        <w:rPr>
          <w:rFonts w:ascii="Arial" w:cs="Arial" w:eastAsia="Arial" w:hAnsi="Arial"/>
          <w:color w:val="212121"/>
          <w:sz w:val="22"/>
          <w:szCs w:val="22"/>
        </w:rPr>
        <w:t xml:space="preserve">Alianza Índigo Neurodivergente A.C. Ley Índigo — Propuesta legislativa de 74 artículos. 2025.</w:t>
      </w:r>
    </w:p>
    <w:p>
      <w:pPr>
        <w:pStyle w:val="ListParagraph"/>
        <w:numPr>
          <w:ilvl w:val="0"/>
          <w:numId w:val="2"/>
        </w:numPr>
        <w:spacing w:after="40" w:before="40"/>
      </w:pPr>
      <w:r>
        <w:rPr>
          <w:rFonts w:ascii="Arial" w:cs="Arial" w:eastAsia="Arial" w:hAnsi="Arial"/>
          <w:color w:val="212121"/>
          <w:sz w:val="22"/>
          <w:szCs w:val="22"/>
        </w:rPr>
        <w:t xml:space="preserve">Alianza Índigo Neurodivergente A.C. Derechos Índigo — Declaración de seis derechos de cuarta generación. 2025.</w:t>
      </w:r>
    </w:p>
    <w:p>
      <w:pPr>
        <w:pStyle w:val="ListParagraph"/>
        <w:numPr>
          <w:ilvl w:val="0"/>
          <w:numId w:val="2"/>
        </w:numPr>
        <w:spacing w:after="40" w:before="40"/>
      </w:pPr>
      <w:r>
        <w:rPr>
          <w:rFonts w:ascii="Arial" w:cs="Arial" w:eastAsia="Arial" w:hAnsi="Arial"/>
          <w:color w:val="212121"/>
          <w:sz w:val="22"/>
          <w:szCs w:val="22"/>
        </w:rPr>
        <w:t xml:space="preserve">Alianza Índigo Neurodivergente A.C. Manifiesto Amor Índigo. 2025.</w:t>
      </w:r>
    </w:p>
    <w:p>
      <w:pPr>
        <w:pStyle w:val="Heading2"/>
        <w:spacing w:after="180" w:before="360"/>
      </w:pPr>
      <w:r>
        <w:rPr>
          <w:rFonts w:ascii="Arial" w:cs="Arial" w:eastAsia="Arial" w:hAnsi="Arial"/>
          <w:b/>
          <w:bCs/>
          <w:color w:val="6A0DAD"/>
          <w:sz w:val="32"/>
          <w:szCs w:val="32"/>
        </w:rPr>
        <w:t xml:space="preserve">Referencias académicas y técnicas</w:t>
      </w:r>
    </w:p>
    <w:p>
      <w:pPr>
        <w:pStyle w:val="ListParagraph"/>
        <w:numPr>
          <w:ilvl w:val="0"/>
          <w:numId w:val="2"/>
        </w:numPr>
        <w:spacing w:after="40" w:before="40"/>
      </w:pPr>
      <w:r>
        <w:rPr>
          <w:rFonts w:ascii="Arial" w:cs="Arial" w:eastAsia="Arial" w:hAnsi="Arial"/>
          <w:color w:val="212121"/>
          <w:sz w:val="22"/>
          <w:szCs w:val="22"/>
        </w:rPr>
        <w:t xml:space="preserve">CAST (2018). Universal Design for Learning Guidelines version 2.2.</w:t>
      </w:r>
    </w:p>
    <w:p>
      <w:pPr>
        <w:pStyle w:val="ListParagraph"/>
        <w:numPr>
          <w:ilvl w:val="0"/>
          <w:numId w:val="2"/>
        </w:numPr>
        <w:spacing w:after="40" w:before="40"/>
      </w:pPr>
      <w:r>
        <w:rPr>
          <w:rFonts w:ascii="Arial" w:cs="Arial" w:eastAsia="Arial" w:hAnsi="Arial"/>
          <w:color w:val="212121"/>
          <w:sz w:val="22"/>
          <w:szCs w:val="22"/>
        </w:rPr>
        <w:t xml:space="preserve">National Autistic Society UK. (2022). Too Much Information Campaign.</w:t>
      </w:r>
    </w:p>
    <w:p>
      <w:pPr>
        <w:pStyle w:val="ListParagraph"/>
        <w:numPr>
          <w:ilvl w:val="0"/>
          <w:numId w:val="2"/>
        </w:numPr>
        <w:spacing w:after="40" w:before="40"/>
      </w:pPr>
      <w:r>
        <w:rPr>
          <w:rFonts w:ascii="Arial" w:cs="Arial" w:eastAsia="Arial" w:hAnsi="Arial"/>
          <w:color w:val="212121"/>
          <w:sz w:val="22"/>
          <w:szCs w:val="22"/>
        </w:rPr>
        <w:t xml:space="preserve">Norma Oficial Mexicana NOM-001-STPS-2017: Condiciones de seguridad e higiene en los centros de trabajo.</w:t>
      </w:r>
    </w:p>
    <w:p>
      <w:pPr>
        <w:pStyle w:val="ListParagraph"/>
        <w:numPr>
          <w:ilvl w:val="0"/>
          <w:numId w:val="2"/>
        </w:numPr>
        <w:spacing w:after="40" w:before="40"/>
      </w:pPr>
      <w:r>
        <w:rPr>
          <w:rFonts w:ascii="Arial" w:cs="Arial" w:eastAsia="Arial" w:hAnsi="Arial"/>
          <w:color w:val="212121"/>
          <w:sz w:val="22"/>
          <w:szCs w:val="22"/>
        </w:rPr>
        <w:t xml:space="preserve">WCAG 2.1 — Web Content Accessibility Guidelines. W3C, 2018.</w:t>
      </w:r>
    </w:p>
    <w:p>
      <w:pPr>
        <w:pStyle w:val="ListParagraph"/>
        <w:numPr>
          <w:ilvl w:val="0"/>
          <w:numId w:val="2"/>
        </w:numPr>
        <w:spacing w:after="40" w:before="40"/>
      </w:pPr>
      <w:r>
        <w:rPr>
          <w:rFonts w:ascii="Arial" w:cs="Arial" w:eastAsia="Arial" w:hAnsi="Arial"/>
          <w:color w:val="212121"/>
          <w:sz w:val="22"/>
          <w:szCs w:val="22"/>
        </w:rPr>
        <w:t xml:space="preserve">ARASAAC — Sistema Aragonés de Comunicación Aumentativa y Alternativa. arasaac.org.</w:t>
      </w:r>
    </w:p>
    <w:p>
      <w:pPr>
        <w:pStyle w:val="ListParagraph"/>
        <w:numPr>
          <w:ilvl w:val="0"/>
          <w:numId w:val="2"/>
        </w:numPr>
        <w:spacing w:after="40" w:before="40"/>
      </w:pPr>
      <w:r>
        <w:rPr>
          <w:rFonts w:ascii="Arial" w:cs="Arial" w:eastAsia="Arial" w:hAnsi="Arial"/>
          <w:color w:val="212121"/>
          <w:sz w:val="22"/>
          <w:szCs w:val="22"/>
        </w:rPr>
        <w:t xml:space="preserve">Singer, J. (1998). Odd people in: A study of a new tribe. University of Technology Sydney. [Primer uso académico del término "neurodiversidad"]</w:t>
      </w:r>
    </w:p>
    <w:p>
      <w:pPr>
        <w:pStyle w:val="ListParagraph"/>
        <w:numPr>
          <w:ilvl w:val="0"/>
          <w:numId w:val="2"/>
        </w:numPr>
        <w:spacing w:after="40" w:before="40"/>
      </w:pPr>
      <w:r>
        <w:rPr>
          <w:rFonts w:ascii="Arial" w:cs="Arial" w:eastAsia="Arial" w:hAnsi="Arial"/>
          <w:color w:val="212121"/>
          <w:sz w:val="22"/>
          <w:szCs w:val="22"/>
        </w:rPr>
        <w:t xml:space="preserve">Milton, D. (2012). On the ontological status of autism. Disability &amp; Society, 27(6), 883-887. [Teoría de la doble empatía]</w:t>
      </w:r>
    </w:p>
    <w:p>
      <w:pPr>
        <w:pStyle w:val="ListParagraph"/>
        <w:numPr>
          <w:ilvl w:val="0"/>
          <w:numId w:val="2"/>
        </w:numPr>
        <w:spacing w:after="40" w:before="40"/>
      </w:pPr>
      <w:r>
        <w:rPr>
          <w:rFonts w:ascii="Arial" w:cs="Arial" w:eastAsia="Arial" w:hAnsi="Arial"/>
          <w:color w:val="212121"/>
          <w:sz w:val="22"/>
          <w:szCs w:val="22"/>
        </w:rPr>
        <w:t xml:space="preserve">Chapman, R. (2021). Neurodiversity and the Social Ecology of Mental Functions. Perspectives on Psychological Science, 16(6), 1360-1372.</w:t>
      </w:r>
    </w:p>
    <w:p>
      <w:pPr>
        <w:spacing w:after="120" w:before="0"/>
      </w:pPr>
      <w:r>
        <w:t xml:space="preserve"/>
      </w:r>
    </w:p>
    <w:p>
      <w:pPr>
        <w:pBdr>
          <w:bottom w:val="single" w:color="E0E0E0" w:sz="4" w:space="1"/>
        </w:pBdr>
        <w:spacing w:after="120" w:before="120"/>
      </w:pPr>
      <w:r>
        <w:t xml:space="preserve"/>
      </w:r>
    </w:p>
    <w:p>
      <w:pPr>
        <w:spacing w:after="120" w:before="0"/>
      </w:pPr>
      <w:r>
        <w:t xml:space="preserve"/>
      </w:r>
    </w:p>
    <w:p>
      <w:pPr>
        <w:spacing w:after="80" w:before="480"/>
        <w:jc w:val="center"/>
      </w:pPr>
      <w:r>
        <w:rPr>
          <w:rFonts w:ascii="Arial" w:cs="Arial" w:eastAsia="Arial" w:hAnsi="Arial"/>
          <w:b/>
          <w:bCs/>
          <w:i/>
          <w:iCs/>
          <w:color w:val="6A0DAD"/>
          <w:sz w:val="32"/>
          <w:szCs w:val="32"/>
        </w:rPr>
        <w:t xml:space="preserve">"No necesitas PARECER para SER"</w:t>
      </w:r>
    </w:p>
    <w:p>
      <w:pPr>
        <w:spacing w:after="80" w:before="0"/>
        <w:jc w:val="center"/>
      </w:pPr>
      <w:r>
        <w:rPr>
          <w:rFonts w:ascii="Arial" w:cs="Arial" w:eastAsia="Arial" w:hAnsi="Arial"/>
          <w:i/>
          <w:iCs/>
          <w:color w:val="616161"/>
          <w:sz w:val="22"/>
          <w:szCs w:val="22"/>
        </w:rPr>
        <w:t xml:space="preserve">Manifiesto Amor Índigo</w:t>
      </w:r>
    </w:p>
    <w:p>
      <w:pPr>
        <w:spacing w:after="0" w:before="0"/>
        <w:jc w:val="center"/>
      </w:pPr>
      <w:r>
        <w:rPr>
          <w:rFonts w:ascii="Arial" w:cs="Arial" w:eastAsia="Arial" w:hAnsi="Arial"/>
          <w:color w:val="4B0082"/>
          <w:sz w:val="22"/>
          <w:szCs w:val="22"/>
        </w:rPr>
        <w:t xml:space="preserve">Alianza Índigo Neurodivergente A.C. | alianzaindigo.org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B0082" w:sz="4" w:space="1"/>
      </w:pBdr>
      <w:spacing w:before="0"/>
    </w:pPr>
    <w:r>
      <w:rPr>
        <w:rFonts w:ascii="Arial" w:cs="Arial" w:eastAsia="Arial" w:hAnsi="Arial"/>
        <w:color w:val="616161"/>
        <w:sz w:val="16"/>
        <w:szCs w:val="16"/>
      </w:rPr>
      <w:t xml:space="preserve">"No necesitas PARECER para SER" | alianzaindigo.org | Pág. </w:t>
    </w:r>
    <w:r>
      <w:rPr>
        <w:rFonts w:ascii="Arial" w:cs="Arial" w:eastAsia="Arial" w:hAnsi="Arial"/>
        <w:color w:val="4B008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B0082" w:sz="4" w:space="1"/>
      </w:pBdr>
      <w:spacing w:after="0"/>
    </w:pPr>
    <w:r>
      <w:rPr>
        <w:rFonts w:ascii="Arial" w:cs="Arial" w:eastAsia="Arial" w:hAnsi="Arial"/>
        <w:color w:val="6A0DAD"/>
        <w:sz w:val="16"/>
        <w:szCs w:val="16"/>
      </w:rPr>
      <w:t xml:space="preserve">ALIANZA ÍNDIGO NEURODIVERGENTE A.C. — CURSO CENI | Certificación de Entornos Neuroinclusivos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4B0082"/>
      <w:sz w:val="40"/>
      <w:szCs w:val="40"/>
    </w:rPr>
  </w:style>
  <w:style w:type="paragraph" w:styleId="Heading2">
    <w:name w:val="Heading 2"/>
    <w:basedOn w:val="Normal"/>
    <w:next w:val="Normal"/>
    <w:qFormat/>
    <w:pPr>
      <w:spacing w:after="180" w:before="360"/>
      <w:outlineLvl w:val="1"/>
    </w:pPr>
    <w:rPr>
      <w:rFonts w:ascii="Arial" w:cs="Arial" w:eastAsia="Arial" w:hAnsi="Arial"/>
      <w:b/>
      <w:bCs/>
      <w:color w:val="6A0DAD"/>
      <w:sz w:val="32"/>
      <w:szCs w:val="32"/>
    </w:rPr>
  </w:style>
  <w:style w:type="paragraph" w:styleId="Heading3">
    <w:name w:val="Heading 3"/>
    <w:basedOn w:val="Normal"/>
    <w:next w:val="Normal"/>
    <w:qFormat/>
    <w:pPr>
      <w:spacing w:after="120" w:before="240"/>
      <w:outlineLvl w:val="2"/>
    </w:pPr>
    <w:rPr>
      <w:rFonts w:ascii="Arial" w:cs="Arial" w:eastAsia="Arial" w:hAnsi="Arial"/>
      <w:b/>
      <w:bCs/>
      <w:color w:val="1565C0"/>
      <w:sz w:val="26"/>
      <w:szCs w:val="26"/>
    </w:rPr>
  </w:style>
  <w:style w:type="paragraph" w:styleId="Heading4">
    <w:name w:val="Heading 4"/>
    <w:basedOn w:val="Normal"/>
    <w:next w:val="Normal"/>
    <w:qFormat/>
    <w:pPr>
      <w:spacing w:after="100" w:before="180"/>
      <w:outlineLvl w:val="3"/>
    </w:pPr>
    <w:rPr>
      <w:rFonts w:ascii="Arial" w:cs="Arial" w:eastAsia="Arial" w:hAnsi="Arial"/>
      <w:b/>
      <w:bCs/>
      <w:color w:val="0069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2026-04-26T20:14:39.998Z</dcterms:created>
  <dcterms:modified xsi:type="dcterms:W3CDTF">2026-04-26T20:14:39.999Z</dcterms:modified>
</cp:coreProperties>
</file>

<file path=docProps/custom.xml><?xml version="1.0" encoding="utf-8"?>
<Properties xmlns="http://schemas.openxmlformats.org/officeDocument/2006/custom-properties" xmlns:vt="http://schemas.openxmlformats.org/officeDocument/2006/docPropsVTypes"/>
</file>