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70B2F"/>
        </w:rPr>
        <w:t>Protocolo de respuesta ante Acontecimientos Traumáticos Severos (ATS)</w:t>
      </w:r>
    </w:p>
    <w:p>
      <w:r>
        <w:rPr>
          <w:i/>
        </w:rPr>
        <w:t>Plantilla operativa — identificar, canalizar y documentar sin diagnosticar</w:t>
      </w:r>
    </w:p>
    <w:p>
      <w:r>
        <w:t>Diplomado NOM-035 ND · Alianza Índigo Neurodivergente A.C.</w:t>
      </w:r>
    </w:p>
    <w:p>
      <w:pPr>
        <w:pStyle w:val="Heading1"/>
      </w:pPr>
      <w:r>
        <w:t>1. Activación (primeras 24-72 horas)</w:t>
      </w:r>
    </w:p>
    <w:p>
      <w:pPr>
        <w:pStyle w:val="ListBullet"/>
      </w:pPr>
      <w:r>
        <w:t>Quién activa el protocolo y cómo se notifica.</w:t>
      </w:r>
    </w:p>
    <w:p>
      <w:pPr>
        <w:pStyle w:val="ListBullet"/>
      </w:pPr>
      <w:r>
        <w:t>Primer contacto y registro sin revictimización.</w:t>
      </w:r>
    </w:p>
    <w:p>
      <w:pPr>
        <w:pStyle w:val="ListBullet"/>
      </w:pPr>
      <w:r>
        <w:t>Aseguramiento de un espacio de baja estimulación.</w:t>
      </w:r>
    </w:p>
    <w:p>
      <w:pPr>
        <w:pStyle w:val="Heading1"/>
      </w:pPr>
      <w:r>
        <w:t>2. Canalización</w:t>
      </w:r>
    </w:p>
    <w:p>
      <w:pPr>
        <w:pStyle w:val="ListBullet"/>
      </w:pPr>
      <w:r>
        <w:t>Ruta IMSS (aviso ST-7 dentro de 24 h cuando aplique).</w:t>
      </w:r>
    </w:p>
    <w:p>
      <w:pPr>
        <w:pStyle w:val="ListBullet"/>
      </w:pPr>
      <w:r>
        <w:t>Directorio de canalización (salud mental, jurídico, seguridad).</w:t>
      </w:r>
    </w:p>
    <w:p>
      <w:pPr>
        <w:pStyle w:val="ListBullet"/>
      </w:pPr>
      <w:r>
        <w:t>Confidencialidad y límites del rol (no diagnosticar).</w:t>
      </w:r>
    </w:p>
    <w:p>
      <w:pPr>
        <w:pStyle w:val="Heading1"/>
      </w:pPr>
      <w:r>
        <w:t>3. Reincorporación y ajustes temporales</w:t>
      </w:r>
    </w:p>
    <w:p>
      <w:pPr>
        <w:pStyle w:val="ListBullet"/>
      </w:pPr>
      <w:r>
        <w:t>Ajustes razonables temporales acordados con la persona.</w:t>
      </w:r>
    </w:p>
    <w:p>
      <w:pPr>
        <w:pStyle w:val="ListBullet"/>
      </w:pPr>
      <w:r>
        <w:t>Seguimiento y cierre documentado del caso.</w:t>
      </w:r>
    </w:p>
    <w:p>
      <w:pPr>
        <w:pStyle w:val="Heading1"/>
      </w:pPr>
      <w:r>
        <w:t>Registro del evento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Contenido</w:t>
            </w:r>
          </w:p>
        </w:tc>
      </w:tr>
      <w:tr>
        <w:tc>
          <w:tcPr>
            <w:tcW w:type="dxa" w:w="4320"/>
          </w:tcPr>
          <w:p>
            <w:r>
              <w:t>Fecha y hora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Tipo de ATS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Acciones inmediatas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Canalización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Responsable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Cierre / seguimiento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