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70B2F"/>
        </w:rPr>
        <w:t>Aviso de privacidad — NOM-035</w:t>
      </w:r>
    </w:p>
    <w:p>
      <w:r>
        <w:rPr>
          <w:i/>
        </w:rPr>
        <w:t>Plantilla · tratamiento de datos personales del proceso de riesgos psicosociales</w:t>
      </w:r>
    </w:p>
    <w:p>
      <w:r>
        <w:t>Diplomado NOM-035 ND · Alianza Índigo Neurodivergente A.C.</w:t>
      </w:r>
    </w:p>
    <w:p>
      <w:pPr>
        <w:pStyle w:val="Heading1"/>
      </w:pPr>
      <w:r>
        <w:t>Responsable del tratamiento</w:t>
      </w:r>
    </w:p>
    <w:p>
      <w:pPr>
        <w:pStyle w:val="ListBullet"/>
      </w:pPr>
      <w:r>
        <w:t>Nombre y domicilio del centro de trabajo.</w:t>
      </w:r>
    </w:p>
    <w:p>
      <w:pPr>
        <w:pStyle w:val="Heading1"/>
      </w:pPr>
      <w:r>
        <w:t>Datos que se recaban</w:t>
      </w:r>
    </w:p>
    <w:p>
      <w:pPr>
        <w:pStyle w:val="ListBullet"/>
      </w:pPr>
      <w:r>
        <w:t>Respuestas a los cuestionarios de la NOM-035.</w:t>
      </w:r>
    </w:p>
    <w:p>
      <w:pPr>
        <w:pStyle w:val="ListBullet"/>
      </w:pPr>
      <w:r>
        <w:t>No se recaban diagnósticos clínicos.</w:t>
      </w:r>
    </w:p>
    <w:p>
      <w:pPr>
        <w:pStyle w:val="Heading1"/>
      </w:pPr>
      <w:r>
        <w:t>Finalidad</w:t>
      </w:r>
    </w:p>
    <w:p>
      <w:pPr>
        <w:pStyle w:val="ListBullet"/>
      </w:pPr>
      <w:r>
        <w:t>Identificar y analizar factores de riesgo psicosocial y evaluar el entorno organizacional.</w:t>
      </w:r>
    </w:p>
    <w:p>
      <w:pPr>
        <w:pStyle w:val="ListBullet"/>
      </w:pPr>
      <w:r>
        <w:t>Los informes se presentan de forma agregada, nunca individual por debajo del umbral mínimo.</w:t>
      </w:r>
    </w:p>
    <w:p>
      <w:pPr>
        <w:pStyle w:val="Heading1"/>
      </w:pPr>
      <w:r>
        <w:t>Confidencialidad</w:t>
      </w:r>
    </w:p>
    <w:p>
      <w:pPr>
        <w:pStyle w:val="ListBullet"/>
      </w:pPr>
      <w:r>
        <w:t>El acceso se restringe al personal autorizado; se lleva un registro de acceso.</w:t>
      </w:r>
    </w:p>
    <w:p>
      <w:pPr>
        <w:pStyle w:val="ListBullet"/>
      </w:pPr>
      <w:r>
        <w:t>No se identifica a las personas que respondieron.</w:t>
      </w:r>
    </w:p>
    <w:p>
      <w:pPr>
        <w:pStyle w:val="Heading1"/>
      </w:pPr>
      <w:r>
        <w:t>Derechos ARCO y conservación</w:t>
      </w:r>
    </w:p>
    <w:p>
      <w:pPr>
        <w:pStyle w:val="ListBullet"/>
      </w:pPr>
      <w:r>
        <w:t>Medios para ejercer derechos ARCO.</w:t>
      </w:r>
    </w:p>
    <w:p>
      <w:pPr>
        <w:pStyle w:val="ListBullet"/>
      </w:pPr>
      <w:r>
        <w:t>Plazo de conservación y supresión.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