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70B2F"/>
        </w:rPr>
        <w:t>Procedimiento de ajustes razonables</w:t>
      </w:r>
    </w:p>
    <w:p>
      <w:r>
        <w:rPr>
          <w:i/>
        </w:rPr>
        <w:t>Plantilla · solicitud y resolución SIN exigir diagnóstico</w:t>
      </w:r>
    </w:p>
    <w:p>
      <w:r>
        <w:t>Diplomado NOM-035 ND · Alianza Índigo Neurodivergente A.C.</w:t>
      </w:r>
    </w:p>
    <w:p>
      <w:pPr>
        <w:pStyle w:val="Heading1"/>
      </w:pPr>
      <w:r>
        <w:t>Principios</w:t>
      </w:r>
    </w:p>
    <w:p>
      <w:pPr>
        <w:pStyle w:val="ListBullet"/>
      </w:pPr>
      <w:r>
        <w:t>El ajuste razonable nunca exige diagnóstico ni revelación de condición.</w:t>
      </w:r>
    </w:p>
    <w:p>
      <w:pPr>
        <w:pStyle w:val="ListBullet"/>
      </w:pPr>
      <w:r>
        <w:t>Toda solicitud recibe resolución por escrito.</w:t>
      </w:r>
    </w:p>
    <w:p>
      <w:pPr>
        <w:pStyle w:val="ListBullet"/>
      </w:pPr>
      <w:r>
        <w:t>Negativa solo por carga desproporcionada, fundada y motivada.</w:t>
      </w:r>
    </w:p>
    <w:p>
      <w:pPr>
        <w:pStyle w:val="Heading1"/>
      </w:pPr>
      <w:r>
        <w:t>Formato de solicitud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Contenido</w:t>
            </w:r>
          </w:p>
        </w:tc>
      </w:tr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Área / puesto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Barrera identificada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Ajuste solicitado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Alternativas propuestas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Formato de resolución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Contenido</w:t>
            </w:r>
          </w:p>
        </w:tc>
      </w:tr>
      <w:tr>
        <w:tc>
          <w:tcPr>
            <w:tcW w:type="dxa" w:w="4320"/>
          </w:tcPr>
          <w:p>
            <w:r>
              <w:t>Resolución (procede / no procede)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Fundamentación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Ajuste otorgado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Fecha de implementación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Responsable de seguimiento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