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i w:val="0"/>
          <w:color w:val="6A0DAD"/>
          <w:sz w:val="32"/>
        </w:rPr>
        <w:t>Informe semestral de neuroinclusión · F-15</w:t>
      </w:r>
    </w:p>
    <w:p>
      <w:pPr>
        <w:spacing w:after="240"/>
        <w:jc w:val="center"/>
      </w:pPr>
      <w:r>
        <w:rPr>
          <w:rFonts w:ascii="Arial" w:hAnsi="Arial"/>
          <w:b w:val="0"/>
          <w:i/>
          <w:color w:val="666666"/>
          <w:sz w:val="18"/>
        </w:rPr>
        <w:t>Para presentar a la dirección. (Rendición de cuentas del Responsable de Neuroinclusión)</w:t>
      </w:r>
    </w:p>
    <w:p>
      <w:pPr>
        <w:spacing w:after="80"/>
      </w:pPr>
      <w:r>
        <w:rPr>
          <w:rFonts w:ascii="Arial" w:hAnsi="Arial"/>
          <w:b/>
          <w:i w:val="0"/>
          <w:color w:val="4B0082"/>
          <w:sz w:val="26"/>
        </w:rPr>
        <w:t>1. Periodo y responsable</w:t>
      </w:r>
    </w:p>
    <w:p>
      <w:pPr>
        <w:spacing w:after="200"/>
      </w:pPr>
      <w:r>
        <w:rPr>
          <w:rFonts w:ascii="Arial" w:hAnsi="Arial"/>
          <w:b w:val="0"/>
          <w:i/>
          <w:color w:val="888888"/>
          <w:sz w:val="22"/>
        </w:rPr>
        <w:t>[Semestre / año · Nombre y cargo del Responsable de Neuroinclusión]</w:t>
      </w:r>
    </w:p>
    <w:p>
      <w:pPr>
        <w:spacing w:after="80"/>
      </w:pPr>
      <w:r>
        <w:rPr>
          <w:rFonts w:ascii="Arial" w:hAnsi="Arial"/>
          <w:b/>
          <w:i w:val="0"/>
          <w:color w:val="4B0082"/>
          <w:sz w:val="26"/>
        </w:rPr>
        <w:t>2. Indicadores de inclusión</w:t>
      </w:r>
    </w:p>
    <w:p>
      <w:pPr>
        <w:spacing w:after="200"/>
      </w:pPr>
      <w:r>
        <w:rPr>
          <w:rFonts w:ascii="Arial" w:hAnsi="Arial"/>
          <w:b w:val="0"/>
          <w:i/>
          <w:color w:val="888888"/>
          <w:sz w:val="22"/>
        </w:rPr>
        <w:t>[Retención de personal neurodivergente, incidentes sensoriales, quejas atendidas, etc.]</w:t>
      </w:r>
    </w:p>
    <w:p>
      <w:pPr>
        <w:spacing w:after="80"/>
      </w:pPr>
      <w:r>
        <w:rPr>
          <w:rFonts w:ascii="Arial" w:hAnsi="Arial"/>
          <w:b/>
          <w:i w:val="0"/>
          <w:color w:val="4B0082"/>
          <w:sz w:val="26"/>
        </w:rPr>
        <w:t>3. Resultados de auditorías internas</w:t>
      </w:r>
    </w:p>
    <w:p>
      <w:pPr>
        <w:spacing w:after="200"/>
      </w:pPr>
      <w:r>
        <w:rPr>
          <w:rFonts w:ascii="Arial" w:hAnsi="Arial"/>
          <w:b w:val="0"/>
          <w:i/>
          <w:color w:val="888888"/>
          <w:sz w:val="22"/>
        </w:rPr>
        <w:t>[Puntuación por dimensión y total, hallazgos principales.]</w:t>
      </w:r>
    </w:p>
    <w:p>
      <w:pPr>
        <w:spacing w:after="80"/>
      </w:pPr>
      <w:r>
        <w:rPr>
          <w:rFonts w:ascii="Arial" w:hAnsi="Arial"/>
          <w:b/>
          <w:i w:val="0"/>
          <w:color w:val="4B0082"/>
          <w:sz w:val="26"/>
        </w:rPr>
        <w:t>4. Mystery client neurodivergente</w:t>
      </w:r>
    </w:p>
    <w:p>
      <w:pPr>
        <w:spacing w:after="200"/>
      </w:pPr>
      <w:r>
        <w:rPr>
          <w:rFonts w:ascii="Arial" w:hAnsi="Arial"/>
          <w:b w:val="0"/>
          <w:i/>
          <w:color w:val="888888"/>
          <w:sz w:val="22"/>
        </w:rPr>
        <w:t>[Resumen del informe y promedio obtenido.]</w:t>
      </w:r>
    </w:p>
    <w:p>
      <w:pPr>
        <w:spacing w:after="80"/>
      </w:pPr>
      <w:r>
        <w:rPr>
          <w:rFonts w:ascii="Arial" w:hAnsi="Arial"/>
          <w:b/>
          <w:i w:val="0"/>
          <w:color w:val="4B0082"/>
          <w:sz w:val="26"/>
        </w:rPr>
        <w:t>5. Canal de retroalimentación</w:t>
      </w:r>
    </w:p>
    <w:p>
      <w:pPr>
        <w:spacing w:after="200"/>
      </w:pPr>
      <w:r>
        <w:rPr>
          <w:rFonts w:ascii="Arial" w:hAnsi="Arial"/>
          <w:b w:val="0"/>
          <w:i/>
          <w:color w:val="888888"/>
          <w:sz w:val="22"/>
        </w:rPr>
        <w:t>[Reportes recibidos, tiempos de respuesta y acciones tomadas.]</w:t>
      </w:r>
    </w:p>
    <w:p>
      <w:pPr>
        <w:spacing w:after="80"/>
      </w:pPr>
      <w:r>
        <w:rPr>
          <w:rFonts w:ascii="Arial" w:hAnsi="Arial"/>
          <w:b/>
          <w:i w:val="0"/>
          <w:color w:val="4B0082"/>
          <w:sz w:val="26"/>
        </w:rPr>
        <w:t>6. Avance del Plan de Mejora Continua (PMCN)</w:t>
      </w:r>
    </w:p>
    <w:p>
      <w:pPr>
        <w:spacing w:after="200"/>
      </w:pPr>
      <w:r>
        <w:rPr>
          <w:rFonts w:ascii="Arial" w:hAnsi="Arial"/>
          <w:b w:val="0"/>
          <w:i/>
          <w:color w:val="888888"/>
          <w:sz w:val="22"/>
        </w:rPr>
        <w:t>[Objetivos cumplidos, en curso y pendientes.]</w:t>
      </w:r>
    </w:p>
    <w:p>
      <w:pPr>
        <w:spacing w:after="80"/>
      </w:pPr>
      <w:r>
        <w:rPr>
          <w:rFonts w:ascii="Arial" w:hAnsi="Arial"/>
          <w:b/>
          <w:i w:val="0"/>
          <w:color w:val="4B0082"/>
          <w:sz w:val="26"/>
        </w:rPr>
        <w:t>7. Cumplimiento NOM-035</w:t>
      </w:r>
    </w:p>
    <w:p>
      <w:pPr>
        <w:spacing w:after="200"/>
      </w:pPr>
      <w:r>
        <w:rPr>
          <w:rFonts w:ascii="Arial" w:hAnsi="Arial"/>
          <w:b w:val="0"/>
          <w:i/>
          <w:color w:val="888888"/>
          <w:sz w:val="22"/>
        </w:rPr>
        <w:t>[Estado de la identificación de riesgo psicosocial, política, programa de intervención.]</w:t>
      </w:r>
    </w:p>
    <w:p>
      <w:pPr>
        <w:spacing w:after="80"/>
      </w:pPr>
      <w:r>
        <w:rPr>
          <w:rFonts w:ascii="Arial" w:hAnsi="Arial"/>
          <w:b/>
          <w:i w:val="0"/>
          <w:color w:val="4B0082"/>
          <w:sz w:val="26"/>
        </w:rPr>
        <w:t>8. Acuerdos y recomendaciones a la dirección</w:t>
      </w:r>
    </w:p>
    <w:p>
      <w:pPr>
        <w:spacing w:after="200"/>
      </w:pPr>
      <w:r>
        <w:rPr>
          <w:rFonts w:ascii="Arial" w:hAnsi="Arial"/>
          <w:b w:val="0"/>
          <w:i/>
          <w:color w:val="888888"/>
          <w:sz w:val="22"/>
        </w:rPr>
        <w:t>[Decisiones solicitadas y recursos requeridos.]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