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Energy efficiency report — Riverside University Campus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Comparative analysis of electricity consumption between March and April 2026 after rolling out the smart sensor and load-control system.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1. Monthly summary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consumption per zone before and after the rollout.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2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March 2026 (no system), kWh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April 2026 (with system), kWh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Saved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Academic Buildings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52,000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44,500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-14.4%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Dormitories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34,200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-10.0%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12,500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10,300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-17.6%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Laboratories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25,800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-7.9%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Outdoor Lighting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6,900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-27.4%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140,000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121,700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-13.1%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2. Daily breakdown (sample week)</w:t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March 2026 (no system)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Consumption (kWh)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4,600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4,550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4,700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4,650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4,800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4,900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4,750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April 2026 (with system)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Consumption (kWh)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4,300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4,120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3. Load mix</w:t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March 2026 (no system)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00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Load 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Consumption (kWh)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HVAC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April 2026 (with system)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00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Load 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Consumption (kWh)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HVAC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42,000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18,700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 w:val="false"/>
          <w:bCs w:val="false"/>
          <w:i/>
          <w:iCs/>
          <w:sz w:val="18"/>
          <w:szCs w:val="18"/>
        </w:rPr>
        <w:t xml:space="preserve">Source: campus metering systems · automated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2026-05-05T16:11:04.808Z</dcterms:created>
  <dcterms:modified xsi:type="dcterms:W3CDTF">2026-05-05T16:11:04.808Z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