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0"/>
          <w:szCs w:val="30"/>
        </w:rPr>
        <w:t xml:space="preserve">Energy efficiency report — Atlas Shopping Mall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Comparative analysis of electricity consumption between June and July 2026 after upgrading the lighting and HVAC control systems.</w:t>
      </w:r>
    </w:p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  <w:sz w:val="26"/>
          <w:szCs w:val="26"/>
        </w:rPr>
        <w:t xml:space="preserve">1. Monthly summary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Total consumption per zone before and after the rollout.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120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June 2026 (before upgrade), kWh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July 2026 (after upgrade), kWh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Saved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Retail Gallery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86,000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71,200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-17.2%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Food Court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42,000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36,500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-13.1%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Cinema (5 screens)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31,000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27,800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-10.3%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Underground Parking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18,500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12,100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-34.6%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Technical Rooms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22,500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19,800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-12.0%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Outdoor Lighting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8,400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-40.0%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214,000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175,800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-17.9%</w:t>
            </w:r>
          </w:p>
        </w:tc>
      </w:tr>
    </w:tbl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  <w:sz w:val="26"/>
          <w:szCs w:val="26"/>
        </w:rPr>
        <w:t xml:space="preserve">2. Daily breakdown (sample week)</w:t>
      </w:r>
    </w:p>
    <w:p>
      <w:pPr>
        <w:spacing w:after="80" w:before="80"/>
      </w:pPr>
      <w:r>
        <w:rPr>
          <w:b/>
          <w:bCs/>
          <w:i w:val="false"/>
          <w:iCs w:val="false"/>
          <w:sz w:val="22"/>
          <w:szCs w:val="22"/>
        </w:rPr>
        <w:t xml:space="preserve">June 2026 (before upgrade)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Day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Consumption (kWh)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06/01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7,100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06/02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7,250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06/03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7,320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06/04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7,480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06/05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7,950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06/06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8,120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06/07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7,780</w:t>
            </w:r>
          </w:p>
        </w:tc>
      </w:tr>
    </w:tbl>
    <w:p>
      <w:r>
        <w:t xml:space="preserve"/>
      </w:r>
    </w:p>
    <w:p>
      <w:pPr>
        <w:spacing w:after="80" w:before="80"/>
      </w:pPr>
      <w:r>
        <w:rPr>
          <w:b/>
          <w:bCs/>
          <w:i w:val="false"/>
          <w:iCs w:val="false"/>
          <w:sz w:val="22"/>
          <w:szCs w:val="22"/>
        </w:rPr>
        <w:t xml:space="preserve">July 2026 (after upgrade)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Day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Consumption (kWh)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07/01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5,800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07/02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5,920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07/03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6,010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07/04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6,180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07/05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6,450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07/06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6,520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07/07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6,230</w:t>
            </w:r>
          </w:p>
        </w:tc>
      </w:tr>
    </w:tbl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  <w:sz w:val="26"/>
          <w:szCs w:val="26"/>
        </w:rPr>
        <w:t xml:space="preserve">3. Load mix</w:t>
      </w:r>
    </w:p>
    <w:p>
      <w:pPr>
        <w:spacing w:after="80" w:before="80"/>
      </w:pPr>
      <w:r>
        <w:rPr>
          <w:b/>
          <w:bCs/>
          <w:i w:val="false"/>
          <w:iCs w:val="false"/>
          <w:sz w:val="22"/>
          <w:szCs w:val="22"/>
        </w:rPr>
        <w:t xml:space="preserve">June 2026 (before upgrade)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000"/>
      </w:tblGrid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Load type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Consumption (kWh)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Share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Lighting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62,000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29%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HVAC (climate)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78,000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Escalators &amp; lifts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35,000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16%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Refrigeration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25,000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Other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6%</w:t>
            </w:r>
          </w:p>
        </w:tc>
      </w:tr>
    </w:tbl>
    <w:p>
      <w:r>
        <w:t xml:space="preserve"/>
      </w:r>
    </w:p>
    <w:p>
      <w:pPr>
        <w:spacing w:after="80" w:before="80"/>
      </w:pPr>
      <w:r>
        <w:rPr>
          <w:b/>
          <w:bCs/>
          <w:i w:val="false"/>
          <w:iCs w:val="false"/>
          <w:sz w:val="22"/>
          <w:szCs w:val="22"/>
        </w:rPr>
        <w:t xml:space="preserve">July 2026 (after upgrade)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000"/>
      </w:tblGrid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Load type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Consumption (kWh)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Share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Lighting (LED)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38,000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22%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HVAC (smart)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64,000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Escalators &amp; lifts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31,000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18%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Refrigeration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24,000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14%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Other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14,800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9%</w:t>
            </w:r>
          </w:p>
        </w:tc>
      </w:tr>
    </w:tbl>
    <w:p>
      <w:r>
        <w:t xml:space="preserve"/>
      </w:r>
    </w:p>
    <w:p>
      <w:pPr>
        <w:spacing w:after="80" w:before="80"/>
      </w:pPr>
      <w:r>
        <w:rPr>
          <w:b w:val="false"/>
          <w:bCs w:val="false"/>
          <w:i/>
          <w:iCs/>
          <w:sz w:val="18"/>
          <w:szCs w:val="18"/>
        </w:rPr>
        <w:t xml:space="preserve">Source: mall metering systems · automated report.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2026-05-05T16:11:04.817Z</dcterms:created>
  <dcterms:modified xsi:type="dcterms:W3CDTF">2026-05-05T16:11:04.817Z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