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66"/>
        <w:rPr>
          <w:rFonts w:ascii="Cambria" w:eastAsia="Cambria" w:hAnsi="Cambria" w:cs="Cambria"/>
          <w:b/>
          <w:color w:val="365F91"/>
          <w:sz w:val="27"/>
          <w:szCs w:val="27"/>
        </w:rPr>
      </w:pPr>
      <w:r>
        <w:rPr>
          <w:rFonts w:ascii="Cambria" w:eastAsia="Cambria" w:hAnsi="Cambria" w:cs="Cambria"/>
          <w:b/>
          <w:color w:val="365F91"/>
          <w:sz w:val="27"/>
          <w:szCs w:val="27"/>
        </w:rPr>
        <w:t xml:space="preserve">Active Filters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7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Theory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26" w:lineRule="auto"/>
        <w:ind w:right="70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electric filter is a frequency-selecting circuit designed to pass a specified band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frequencies  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attenuating signals of frequencies outside this band. Filters may be either active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passive  depending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type of elements used in their circuitry. Passive filters contain only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resistors,  capacitors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inductors. Active filters employ transistors or op-amps in addition to resistors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capacitors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Active filters offer several advantages over passive filters. Since the op-amp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capable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a gain, the input signal is not attenuated as it is in a passive filter. Because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 input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low output resistance of the op-amp, the active filter does not cause loading of the source  or load. There are four types of filters: low-pass, high-pass, band-pass, and band-reject filters.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low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-pass filter has a constant gain (=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0 Hz to a high cut off frequency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cut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  frequency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defined as the frequency where the voltage gain is reduced to 0.707, that is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 gain is down by 3 dB; after that (f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it decreases as f increases. The frequencies between 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Hz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called pass band frequencies, whereas the frequencies beyond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so-called stop  band frequencies. A common use of a low-pass filter is to remove noise or other unwanted high frequency components in a signal for which you are only interested in the dc or 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frequency  components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Low-pass filters are also used to avoid aliasing in analog-digital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conversion  correspondingly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high-pass filter has a stop band for 0 &lt; f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low cut off  frequency. A common use for a high-pass filter is to remove the dc component of a signal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 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only interested in the ac components (such as an audio signal). A band pass filter has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  band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two cut off frequencies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and two stop bands 0 &lt; f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bandwidth of a band pass filter is equal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actual response curves of the filters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stop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 either steadily decrease or increase with increase of frequency. The roll-off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rate,  measured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[dB/decade] or [dB/octave] is defined as rate change of power at 10 times (decade) or  2 times (octave) change of frequency in the stop band. The “First-order” filters attenuate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voltages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stop band 20 dB/decade (for example, a first-order low pass filter would attenuate a signal at  a frequency 100 times (2 decades) higher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second-order filters attenuate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 about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dB/decade.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4" w:line="240" w:lineRule="auto"/>
        <w:ind w:left="4277"/>
        <w:rPr>
          <w:rFonts w:ascii="Cambria" w:eastAsia="Cambria" w:hAnsi="Cambria" w:cs="Cambria"/>
          <w:b/>
          <w:color w:val="365F91"/>
          <w:sz w:val="27"/>
          <w:szCs w:val="27"/>
        </w:rPr>
      </w:pPr>
      <w:r>
        <w:rPr>
          <w:rFonts w:ascii="Cambria" w:eastAsia="Cambria" w:hAnsi="Cambria" w:cs="Cambria"/>
          <w:b/>
          <w:color w:val="365F91"/>
          <w:sz w:val="27"/>
          <w:szCs w:val="27"/>
        </w:rPr>
        <w:t xml:space="preserve">Lab 10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1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Low Pass Filter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2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Objectives: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the Active Low pass filter and to evaluate: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cutoff frequency of Low pass filter.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 band gain of Low pass filter.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the frequency response of Low pass filter.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7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Equipment: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 xml:space="preserve">1. DC power supplies +15V, −15V from external source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Function generator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Oscilloscope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Digital Multimeter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388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Components: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7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Resistance 10kΩ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Resistance 22kΩ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Capacitor 0.01µF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LM 741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14" w:lineRule="auto"/>
        <w:ind w:left="376" w:right="1169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2087880" cy="20148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1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2407920" cy="1895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Figure 1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240" w:lineRule="auto"/>
        <w:ind w:left="11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Equation of low pass filter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38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  <w:szCs w:val="26"/>
        </w:rPr>
        <w:drawing>
          <wp:inline distT="19050" distB="19050" distL="19050" distR="19050">
            <wp:extent cx="3514344" cy="292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46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  <w:szCs w:val="26"/>
        </w:rPr>
        <w:drawing>
          <wp:inline distT="19050" distB="19050" distL="19050" distR="19050">
            <wp:extent cx="3553460" cy="7771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777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=Input signal Voltage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Output signal Voltage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|= Gain of filter as a function of frequency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=1+R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pass band gain of filter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= frequency of input signal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=1/2πRC =high cut off frequency, 3-dB frequency, corner frequency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 of low pass filter using equation 2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477387" cy="106299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387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22" w:lineRule="auto"/>
        <w:ind w:left="25" w:right="331" w:hanging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ideal low pass filter has a constant gain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0 to high cut off frequency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gain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0.707 *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after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decreases at a constant rate with an increase in frequency i.e., when input frequency is increased tenfold (one decade), the voltage gain is divided by 10.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dB) = 20 log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in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| i.e., Gain Roll off rate is −20dB / decade.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1814830" cy="184213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84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2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1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Procedure: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Connect the circuit as shown in Figure 2.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Switch ON the power supply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35" w:lineRule="auto"/>
        <w:ind w:left="717" w:right="641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Connect a sinusoidal signal of amplitude 1V (p-p) of frequency 1KHz to Vin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  pass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from function generator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Connect Ch-1 of oscilloscope to the signal source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Observe output on Ch-2 of oscilloscope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35" w:lineRule="auto"/>
        <w:ind w:left="719" w:right="836" w:hanging="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Increase the frequency of input signal step by step and observe the effect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oscilloscope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16" w:lineRule="auto"/>
        <w:ind w:left="719" w:right="698" w:hanging="3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Tabulate values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gain, gain (dB) at different values of input frequency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shown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observation Table 2.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5" w:lineRule="auto"/>
        <w:ind w:left="719" w:right="1062" w:hanging="34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Plot the frequency response of low pass filter using the data obtained 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 input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frequencies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Theoretical Calculations: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7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all the following values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87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Pass band gain of Low pass filter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 + 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Pass band gain (dB) = 20 log |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3 dB frequency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1/2πRC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63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Gain at 3 dB frequency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0.707 * 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lastRenderedPageBreak/>
        <w:t xml:space="preserve">5. Roll off rate = −20db/decade 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Results: </w:t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59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  <w:szCs w:val="26"/>
        </w:rPr>
        <w:drawing>
          <wp:inline distT="19050" distB="19050" distL="19050" distR="19050">
            <wp:extent cx="4197985" cy="167106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67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1 </w:t>
      </w:r>
    </w:p>
    <w:tbl>
      <w:tblPr>
        <w:tblStyle w:val="a"/>
        <w:tblW w:w="9475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"/>
        <w:gridCol w:w="2158"/>
        <w:gridCol w:w="1213"/>
        <w:gridCol w:w="2101"/>
        <w:gridCol w:w="3372"/>
      </w:tblGrid>
      <w:tr w:rsidR="00424D8C">
        <w:trPr>
          <w:trHeight w:val="75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Sr. </w:t>
            </w:r>
          </w:p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02" w:right="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Input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Hz)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|= Gain 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Gain (dB) = 20 log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|</w:t>
            </w:r>
          </w:p>
        </w:tc>
      </w:tr>
      <w:tr w:rsidR="00424D8C">
        <w:trPr>
          <w:trHeight w:val="46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="00A16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6.02</w:t>
            </w:r>
          </w:p>
        </w:tc>
      </w:tr>
      <w:tr w:rsidR="00424D8C">
        <w:trPr>
          <w:trHeight w:val="46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="00A16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A16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6.02</w:t>
            </w:r>
          </w:p>
        </w:tc>
      </w:tr>
      <w:tr w:rsidR="00424D8C">
        <w:trPr>
          <w:trHeight w:val="461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="00A16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5.11</w:t>
            </w:r>
          </w:p>
        </w:tc>
      </w:tr>
      <w:tr w:rsidR="00424D8C">
        <w:trPr>
          <w:trHeight w:val="46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1k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  <w:r w:rsidR="0049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</w:tr>
      <w:tr w:rsidR="00424D8C">
        <w:trPr>
          <w:trHeight w:val="46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5k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 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0.634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-3.96</w:t>
            </w:r>
          </w:p>
        </w:tc>
      </w:tr>
      <w:tr w:rsidR="00424D8C">
        <w:trPr>
          <w:trHeight w:val="461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10k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1.52 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-10.34</w:t>
            </w:r>
          </w:p>
        </w:tc>
      </w:tr>
      <w:tr w:rsidR="00424D8C">
        <w:trPr>
          <w:trHeight w:val="46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15k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V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D8C" w:rsidRDefault="00E7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-13.98</w:t>
            </w:r>
          </w:p>
        </w:tc>
      </w:tr>
    </w:tbl>
    <w:p w:rsidR="00424D8C" w:rsidRDefault="00424D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24D8C" w:rsidRDefault="00424D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24D8C" w:rsidRDefault="00424D8C" w:rsidP="00E74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4D8C">
      <w:pgSz w:w="12240" w:h="15840"/>
      <w:pgMar w:top="1426" w:right="1242" w:bottom="1469" w:left="14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8C"/>
    <w:rsid w:val="00424D8C"/>
    <w:rsid w:val="00490587"/>
    <w:rsid w:val="009A5633"/>
    <w:rsid w:val="00A160E1"/>
    <w:rsid w:val="00E7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9EE4"/>
  <w15:docId w15:val="{B653B9C0-35D2-40AE-94BC-FE0B030F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2022-12-20T03:41:00Z</dcterms:created>
  <dcterms:modified xsi:type="dcterms:W3CDTF">2022-12-20T04:44:00Z</dcterms:modified>
</cp:coreProperties>
</file>