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Architecture and System Flow of HilalBot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Figure 01: HilalBot System Architecture and Flow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170815</wp:posOffset>
                  </wp:positionV>
                  <wp:extent cx="5731510" cy="3223895"/>
                  <wp:effectExtent b="0" l="0" r="0" t="0"/>
                  <wp:wrapTopAndBottom distB="0" dist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 workflow and system architecture for HilalBot, and additional considerations: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User Input: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inputs protocol/token name or ticker via a user interface (UI).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UI validates input for format and potential errors.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URL Retrieval: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calls a search function to locate URLs for: 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Official website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Official docs (Gitbook, whitepaper, etc.)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CoinMarketCap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CoinGecko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Other relevant data sources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verifies URLs for validity and accessibility.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stores retrieved URLs in a structured format (e.g., list or dictionary).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Web Scraping with BeautifulSoup: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iterates through each retrieved URL.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each URL: 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Downloads HTML content using a library like Requests.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Passes HTML content to BeautifulSoup for parsing.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Extracts relevant text data based on defined criteria.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Stores extracted text in a temporary format (e.g., list or JSON).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Data Pre-Processing: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consolidates extracted text from multiple sources.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cleans and normalizes text: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Removes irrelevant elements (HTML tags, scripts, formatting).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Applies text normalization techniques (lowercase, tokenization, lemmatization/stemming).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Filters out unwanted content (ads, navigation elements).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Feature Extraction with HilalBot: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System feeds pre-processed text to HilalBot.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HilalBot leverages LangChain and agent to: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Analyze text for key features relevant to Shariah compliance.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 information about: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Token/protocol purpose and utility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Economic model and incentives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Governance structure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 of interest-bearing mechanisms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Involvement in prohibited activities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Other relevant Shariah criteria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Report Generation: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HilalBot combines extracted features with knowledge from its training data.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It generates a comprehensive report containing: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Summary of key features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Shariah compliance assessment (compliant, non-compliant, uncertain)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Detailed explanations for compliance rulings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Recommendations or insights based on analysis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Report is presented to the user in a clear and informative format (User Interface).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Shariah Scholar Review: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generated report is first sent to a Shariah Scholar.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Scholar reviews the report for accuracy, correctness, and compliance with Shariah principles.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If approved, the report is then released to the user.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If inaccuracies or errors are found, the Scholar makes necessary corrections.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Report Presentation and Learning Feedback Loop: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finalized report, either directly approved or corrected by the Shariah Scholar, is presented to the user.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same report (especially any corrected version) is stored in the database of reviewed token reports.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HilalBot accesses this database to learn from these reports, enhancing its future analyses and reports.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Considerations: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Error Handling: Implement robust error handling mechanisms for URL retrieval, web scraping, and data processing.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Data Storage: Consider storing extracted data and reports for future reference or analysis.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Training Data: Ensure HilalBot's training data aligns with Islamic financial principles and is regularly updated.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Feedback and Improvement: Incorporate user feedback and expert reviews to refine HilalBot's accuracy and Shariah compliance assessment.</w:t>
      </w:r>
    </w:p>
    <w:p w:rsidR="00000000" w:rsidDel="00000000" w:rsidP="00000000" w:rsidRDefault="00000000" w:rsidRPr="00000000" w14:paraId="00000040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Retrieving Accurate URLs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Here's a system flow and process sequence for retrieving accurate URLs for cryptos using a combination of API integration, search engine APIs, refined web searches, community-sourced databases, and user feedback: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1. User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User enters protocol/token name or ticker via the User Interface (UI).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UI performs initial validation for format correctness and potential input errors.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2. Initial API 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System queries established cryptocurrency data platforms like CoinMarketCap and CoinGecko using the provided token name or ticker.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System checks for URL data (official website, whitepaper, etc.) in the API response.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3. API Response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If URLs are found in API responses, proceed to URL Validation.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If URLs are not found, proceed to Search Engine API Query.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4. Search Engine API Query with Custom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System uses search engine APIs (like Google Custom Search) with specific query terms (e.g., "Ethereum official website" or "Bitcoin whitepaper").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Custom logic is applied to prioritize official websites and filter out irrelevant or sponsored results.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5. Search Engine API Response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Analyze search engine API results for relevancy.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If relevant URLs are found, proceed to URL Validation.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If relevant URLs are not found, proceed to Refined Web Search.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6. Refined Web 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System conducts a manual web search using refined query parameters and advanced search operators to find the correct URLs.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Leverage community-sourced databases or blogs (e.g., Medium articles) for additional information.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7. URL Validation: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Cross-verify URLs from different sources (APIs, search engine API, web search) for authenticity.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 validation step to confirm the accuracy and relevancy of URLs.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8. User Feedback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Allow users to flag incorrect URLs and suggest correct ones.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a review mechanism for user-submitted URLs.</w:t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9. Final URL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Present the validated URLs to the user or proceed with further processing (like web scraping for HilalBot analysis).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10. Continuous Improvement: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Continuously refine search queries, update API integrations, and incorporate user feedback for system improvement.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lCkAeWsnaGkcjac3Ua5S+WdMjQ==">CgMxLjA4AHIhMTl4U09FYjNOZy1RYjQ1R25kdVdfYjhYX1NmV2d3c0pp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