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FR-05 Kritik Parça ve Yedek Listesi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RY-PY-FR-05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Kural: </w:t>
            </w:r>
            <w:r>
              <w:rPr>
                <w:rFonts w:ascii="Arial" w:hAnsi="Arial"/>
                <w:sz w:val="18"/>
              </w:rPr>
              <w:t>Bir parça kırıldığında robot piste çıkamıyorsa o parça kritiktir. Kritik parçanın yedeği, değiştirme yöntemi ve gerekli aleti önceden belirlenmelidir.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Kritik Parça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Arıza / Kırılma Senaryosu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Etkisi</w:t>
            </w:r>
          </w:p>
        </w:tc>
        <w:tc>
          <w:tcPr>
            <w:tcW w:type="dxa" w:w="13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Yedek Adedi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Değiştirme Süresi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Gerekli Alet</w:t>
            </w:r>
          </w:p>
        </w:tc>
        <w:tc>
          <w:tcPr>
            <w:tcW w:type="dxa" w:w="209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 Planı</w:t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KYP-01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KYP-02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KYP-03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KYP-04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KYP-05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KYP-06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KYP-07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KYP-08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KYP-09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KYP-10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KYP-11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KYP-12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09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Yarışma Günü Tamir Kutusu Kontrolü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Hazır mı?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Vida, somun, pul, kablo bağı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Yedek motor / servo / sürücü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Yedek pil ve şarj cihazı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Lehim seti, multimetre, tornavida, pense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 çalışan kod yedeği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Robot taşıma kutusu ve parça etiketi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FR-05 Kritik Parça ve Yedek Listesi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RY-PY-FR-05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