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section-1-what-is-one-teensy-unit"/>
    <w:p>
      <w:pPr>
        <w:pStyle w:val="Heading2"/>
      </w:pPr>
      <w:r>
        <w:t xml:space="preserve">Section 1: 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 matlablogging.m increases by 1? Include a graph of Teensy output vs. sample number, any other relevant measurement setup information or measurements, and calculations showing how you did your conversion from measured units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5c488c5a48d39a1df3cd9b368e33dd5ebb8a9bf"/>
    <w:p>
      <w:pPr>
        <w:pStyle w:val="Heading2"/>
      </w:pPr>
      <w:r>
        <w:t xml:space="preserve">Section 1: What is the sample rate of the Teensy running matlablogging.ino?</w:t>
      </w:r>
    </w:p>
    <w:p>
      <w:pPr>
        <w:pStyle w:val="FirstParagraph"/>
      </w:pPr>
      <w:r>
        <w:t xml:space="preserve">Effort Specification:</w:t>
      </w:r>
      <w:r>
        <w:t xml:space="preserve"> </w:t>
      </w:r>
      <w:r>
        <w:t xml:space="preserve">1. Includes a graph of data sampled from the Teensy</w:t>
      </w:r>
      <w:r>
        <w:t xml:space="preserve"> </w:t>
      </w:r>
      <w:r>
        <w:t xml:space="preserve">2. Includes information (an oscilloscope measurement or a detail of how the function generator is set up) that can be used to calibrate the horizontal scale of the Teensy graph.</w:t>
      </w:r>
      <w:r>
        <w:t xml:space="preserve"> </w:t>
      </w:r>
      <w:r>
        <w:t xml:space="preserve">3. Some calculations present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Calculations are correct and yield the proper Teensy unit value.</w:t>
      </w:r>
    </w:p>
    <w:p>
      <w:r>
        <w:br w:type="page"/>
      </w:r>
    </w:p>
    <w:bookmarkEnd w:id="21"/>
    <w:bookmarkStart w:id="22" w:name="sections-5-fill-in-this-table"/>
    <w:p>
      <w:pPr>
        <w:pStyle w:val="Heading2"/>
      </w:pPr>
      <w:r>
        <w:t xml:space="preserve">Sections 5: Fill in this table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 Converted Output Voltage (Vrms) column.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11"/>
        <w:gridCol w:w="972"/>
        <w:gridCol w:w="1111"/>
        <w:gridCol w:w="972"/>
        <w:gridCol w:w="833"/>
        <w:gridCol w:w="833"/>
        <w:gridCol w:w="1111"/>
        <w:gridCol w:w="9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Covnerted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Uncertainty Bounds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from Theory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, 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, 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, 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, 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, 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At least half of the measurements are filled in with plausible values.</w:t>
      </w:r>
      <w:r>
        <w:t xml:space="preserve"> </w:t>
      </w:r>
      <w:r>
        <w:t xml:space="preserve">2. Measured values also have a corresponding predicted value that shows understanding of the divider equation.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All measurements are filled in with correct values</w:t>
      </w:r>
      <w:r>
        <w:t xml:space="preserve"> </w:t>
      </w:r>
      <w:r>
        <w:t xml:space="preserve">2. Theoretical calculations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023c1cc23dae95ffc515bec628e28dbdb616800"/>
    <w:p>
      <w:pPr>
        <w:pStyle w:val="Heading2"/>
      </w:pPr>
      <w:r>
        <w:t xml:space="preserve">Section 5: Provide an example Uncertainty Calculation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Elenco.</w:t>
      </w:r>
    </w:p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Calculations show understanding of divider equations.</w:t>
      </w:r>
      <w:r>
        <w:t xml:space="preserve"> </w:t>
      </w:r>
      <w:r>
        <w:t xml:space="preserve">2. Error propagation is used to find the uncertainty bounds.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Calculations additionally show understanding of loading effects and use correct instrument loads.</w:t>
      </w:r>
    </w:p>
    <w:p>
      <w:r>
        <w:br w:type="page"/>
      </w:r>
    </w:p>
    <w:bookmarkEnd w:id="23"/>
    <w:bookmarkStart w:id="24" w:name="section-6-fill-in-this-table"/>
    <w:p>
      <w:pPr>
        <w:pStyle w:val="Heading2"/>
      </w:pPr>
      <w:r>
        <w:t xml:space="preserve">Section 6: Fill in this table</w:t>
      </w:r>
    </w:p>
    <w:p>
      <w:pPr>
        <w:pStyle w:val="FirstParagraph"/>
      </w:pPr>
      <w:r>
        <w:t xml:space="preserve">Each measurement will use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columns, whichever is appropriate to the instrument that you are using to measure.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11"/>
        <w:gridCol w:w="972"/>
        <w:gridCol w:w="1111"/>
        <w:gridCol w:w="972"/>
        <w:gridCol w:w="833"/>
        <w:gridCol w:w="833"/>
        <w:gridCol w:w="1111"/>
        <w:gridCol w:w="9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Circuit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Uncertainty Bounds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from Theory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input, 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input, 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output, 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output, 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At least half of the measurements are filled in with plausible values.</w:t>
      </w:r>
      <w:r>
        <w:t xml:space="preserve"> </w:t>
      </w:r>
      <w:r>
        <w:t xml:space="preserve">2. Measured values also have a corresponding predicted value that shows understanding of the divider equation.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All measurements and calculations are filled in with correct values</w:t>
      </w:r>
    </w:p>
    <w:p>
      <w:r>
        <w:br w:type="page"/>
      </w:r>
    </w:p>
    <w:bookmarkEnd w:id="24"/>
    <w:bookmarkStart w:id="25" w:name="X89c4b99b55e1f028315a4e5731c2755b2087cf7"/>
    <w:p>
      <w:pPr>
        <w:pStyle w:val="Heading2"/>
      </w:pPr>
      <w:r>
        <w:t xml:space="preserve">Section 6: Provide an Example Op-amp calculation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there is an op-amp at teh output,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Elenco.</w:t>
      </w:r>
    </w:p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Some calculation is present that is theoretically appropriate.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Theoretical calculations additionally include a 1-2 sentence explanation of how the op-amp is affecting the calculation and measurement. That explanation makes reference to appropriate op-amp input and output impedance properties.</w:t>
      </w:r>
    </w:p>
    <w:p>
      <w:r>
        <w:br w:type="page"/>
      </w:r>
    </w:p>
    <w:bookmarkEnd w:id="25"/>
    <w:bookmarkStart w:id="26" w:name="extra-credit-writeups"/>
    <w:p>
      <w:pPr>
        <w:pStyle w:val="Heading2"/>
      </w:pPr>
      <w:r>
        <w:t xml:space="preserve">Extra Credit Writeups: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2024-01-19T18:42:10Z</dcterms:created>
  <dcterms:modified xsi:type="dcterms:W3CDTF">2024-01-19T18:42:10Z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