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AA2924" w14:textId="747346C0" w:rsidR="00586242" w:rsidRPr="003B14D1" w:rsidRDefault="00000000" w:rsidP="003B14D1">
      <w:pPr>
        <w:pStyle w:val="Heading1"/>
        <w:spacing w:before="0" w:line="240" w:lineRule="auto"/>
        <w:rPr>
          <w:rFonts w:cstheme="majorHAnsi"/>
        </w:rPr>
      </w:pPr>
      <w:r w:rsidRPr="003B14D1">
        <w:rPr>
          <w:rFonts w:cstheme="majorHAnsi"/>
        </w:rPr>
        <w:t>Economic Market Movement Prediction Using Layoff Data and Market Indicators (2020–2023)</w:t>
      </w:r>
    </w:p>
    <w:p w14:paraId="74F91741"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1. Problem</w:t>
      </w:r>
    </w:p>
    <w:p w14:paraId="12FE0CE8"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The goal of this project is to predict the daily directional movement (Up/Down) of the S&amp;P 500, Dow Jones, and VIX using global layoff data, sector information, and temporal economic indicators. Layoffs reflect macroeconomic stress, which may influence financial markets. The objective is to evaluate whether machine learning can detect these relationships.</w:t>
      </w:r>
    </w:p>
    <w:p w14:paraId="3741D029"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2. Data</w:t>
      </w:r>
    </w:p>
    <w:p w14:paraId="72DB915A"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Datasets used:</w:t>
      </w:r>
    </w:p>
    <w:p w14:paraId="6C642F71"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Worldwide Layoff Dataset (2020–2023): company, industry, country, stage, % laid off.</w:t>
      </w:r>
    </w:p>
    <w:p w14:paraId="5A7CE4BB"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S&amp;P 500 Daily Prices</w:t>
      </w:r>
    </w:p>
    <w:p w14:paraId="045FBC52"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Dow Jones Daily Prices</w:t>
      </w:r>
    </w:p>
    <w:p w14:paraId="67C835DB"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VIX Volatility Index</w:t>
      </w:r>
    </w:p>
    <w:p w14:paraId="06C708E0"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Data was cleaned and merged by date (2020-03-11 to 2023-03-06). New engineered features included:</w:t>
      </w:r>
    </w:p>
    <w:p w14:paraId="1CAC2596"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Layoff_Index (categorical stress levels)</w:t>
      </w:r>
    </w:p>
    <w:p w14:paraId="132AA56A"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Risk class</w:t>
      </w:r>
    </w:p>
    <w:p w14:paraId="661896A4"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year, month, day</w:t>
      </w:r>
    </w:p>
    <w:p w14:paraId="58580830"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Up/Down labels for SP5, DJ, and VIX.</w:t>
      </w:r>
    </w:p>
    <w:p w14:paraId="443F07E2"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3. Model</w:t>
      </w:r>
    </w:p>
    <w:p w14:paraId="411E38E7"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Three models were trained:</w:t>
      </w:r>
    </w:p>
    <w:p w14:paraId="3F79BA8D"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Decision Tree</w:t>
      </w:r>
    </w:p>
    <w:p w14:paraId="3BF69BC0"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Random Forest</w:t>
      </w:r>
    </w:p>
    <w:p w14:paraId="7EC1D722"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XGBoost</w:t>
      </w:r>
    </w:p>
    <w:p w14:paraId="6D673101"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A preprocessing pipeline applied numeric passthrough and one-hot encoding. 80/20 train-test split was used. A comparison function selected the highest-accuracy model and saved it to /finalproject/Model/.</w:t>
      </w:r>
    </w:p>
    <w:p w14:paraId="2ACFE4BB"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4. Results</w:t>
      </w:r>
    </w:p>
    <w:p w14:paraId="0486AD08"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Example accuracy for VIX_Up prediction:</w:t>
      </w:r>
    </w:p>
    <w:p w14:paraId="3DA8D03E" w14:textId="7089C199"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Decision Tree: ~0.8</w:t>
      </w:r>
      <w:r w:rsidR="003B14D1">
        <w:rPr>
          <w:rFonts w:asciiTheme="majorHAnsi" w:hAnsiTheme="majorHAnsi" w:cstheme="majorHAnsi"/>
          <w:sz w:val="24"/>
          <w:szCs w:val="24"/>
        </w:rPr>
        <w:t>9</w:t>
      </w:r>
    </w:p>
    <w:p w14:paraId="1049A72E" w14:textId="3875DE66"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Random Forest: ~0.</w:t>
      </w:r>
      <w:r w:rsidR="003B14D1">
        <w:rPr>
          <w:rFonts w:asciiTheme="majorHAnsi" w:hAnsiTheme="majorHAnsi" w:cstheme="majorHAnsi"/>
          <w:sz w:val="24"/>
          <w:szCs w:val="24"/>
        </w:rPr>
        <w:t>9048</w:t>
      </w:r>
    </w:p>
    <w:p w14:paraId="749F3C37" w14:textId="776065EE"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XGBoost: ~0.9</w:t>
      </w:r>
      <w:r w:rsidR="003B14D1">
        <w:rPr>
          <w:rFonts w:asciiTheme="majorHAnsi" w:hAnsiTheme="majorHAnsi" w:cstheme="majorHAnsi"/>
          <w:sz w:val="24"/>
          <w:szCs w:val="24"/>
        </w:rPr>
        <w:t>079</w:t>
      </w:r>
      <w:r w:rsidRPr="003B14D1">
        <w:rPr>
          <w:rFonts w:asciiTheme="majorHAnsi" w:hAnsiTheme="majorHAnsi" w:cstheme="majorHAnsi"/>
          <w:sz w:val="24"/>
          <w:szCs w:val="24"/>
        </w:rPr>
        <w:t xml:space="preserve"> (Best)</w:t>
      </w:r>
    </w:p>
    <w:p w14:paraId="1BD60624"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Sample prediction:</w:t>
      </w:r>
    </w:p>
    <w:p w14:paraId="7CB645CD"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Input: Tech sector, USA, 5% layoffs, Series B, 2023-04-15.</w:t>
      </w:r>
    </w:p>
    <w:p w14:paraId="77A0C88C"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Prediction: VIX Down</w:t>
      </w:r>
    </w:p>
    <w:p w14:paraId="6E3AA575"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Probability: 99.18% Down, 0.81% Up.</w:t>
      </w:r>
    </w:p>
    <w:p w14:paraId="5AEA6A6B"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5. Limitations</w:t>
      </w:r>
    </w:p>
    <w:p w14:paraId="6E0180E1"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Layoff data is sparse and irregular.</w:t>
      </w:r>
    </w:p>
    <w:p w14:paraId="4ABA3B2A"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Markets influenced by unobserved factors (CPI, interest rates, geopolitical risk).</w:t>
      </w:r>
    </w:p>
    <w:p w14:paraId="657C84A9"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Time period includes abnormal regimes (COVID crash, recovery, tech layoffs).</w:t>
      </w:r>
    </w:p>
    <w:p w14:paraId="74FA2F64"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Daily market direction is inherently noisy.</w:t>
      </w:r>
    </w:p>
    <w:p w14:paraId="3CF91407"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6. Next Steps</w:t>
      </w:r>
    </w:p>
    <w:p w14:paraId="3A821E65"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Add macroeconomic indicators (interest rates, CPI, unemployment claims).</w:t>
      </w:r>
    </w:p>
    <w:p w14:paraId="2CD4D7F8"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Introduce sequence models (LSTM, GRU).</w:t>
      </w:r>
    </w:p>
    <w:p w14:paraId="7C6DFF4F"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Add technical indicators (SMA, EMA, Bollinger Bands).</w:t>
      </w:r>
    </w:p>
    <w:p w14:paraId="22E87F13"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Build a Streamlit prediction dashboard.</w:t>
      </w:r>
    </w:p>
    <w:p w14:paraId="4C5FBBAA" w14:textId="77777777" w:rsidR="00586242" w:rsidRPr="003B14D1" w:rsidRDefault="00000000" w:rsidP="003B14D1">
      <w:pPr>
        <w:spacing w:after="0" w:line="240" w:lineRule="auto"/>
        <w:rPr>
          <w:rFonts w:asciiTheme="majorHAnsi" w:hAnsiTheme="majorHAnsi" w:cstheme="majorHAnsi"/>
          <w:sz w:val="24"/>
          <w:szCs w:val="24"/>
        </w:rPr>
      </w:pPr>
      <w:r w:rsidRPr="003B14D1">
        <w:rPr>
          <w:rFonts w:asciiTheme="majorHAnsi" w:hAnsiTheme="majorHAnsi" w:cstheme="majorHAnsi"/>
          <w:sz w:val="24"/>
          <w:szCs w:val="24"/>
        </w:rPr>
        <w:t>• Use SHAP for feature explainability.</w:t>
      </w:r>
    </w:p>
    <w:sectPr w:rsidR="00586242" w:rsidRPr="003B14D1" w:rsidSect="003B14D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3406342">
    <w:abstractNumId w:val="8"/>
  </w:num>
  <w:num w:numId="2" w16cid:durableId="1870145962">
    <w:abstractNumId w:val="6"/>
  </w:num>
  <w:num w:numId="3" w16cid:durableId="1586643012">
    <w:abstractNumId w:val="5"/>
  </w:num>
  <w:num w:numId="4" w16cid:durableId="1343094943">
    <w:abstractNumId w:val="4"/>
  </w:num>
  <w:num w:numId="5" w16cid:durableId="984241945">
    <w:abstractNumId w:val="7"/>
  </w:num>
  <w:num w:numId="6" w16cid:durableId="2138645845">
    <w:abstractNumId w:val="3"/>
  </w:num>
  <w:num w:numId="7" w16cid:durableId="877283364">
    <w:abstractNumId w:val="2"/>
  </w:num>
  <w:num w:numId="8" w16cid:durableId="395472862">
    <w:abstractNumId w:val="1"/>
  </w:num>
  <w:num w:numId="9" w16cid:durableId="77286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14D1"/>
    <w:rsid w:val="00586242"/>
    <w:rsid w:val="008D665F"/>
    <w:rsid w:val="00AA1D8D"/>
    <w:rsid w:val="00B47730"/>
    <w:rsid w:val="00CB0664"/>
    <w:rsid w:val="00F341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5D1BF"/>
  <w14:defaultImageDpi w14:val="300"/>
  <w15:docId w15:val="{8D5D8DA9-3F2D-B249-96D3-522FCF8FF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Shu Han Jhang</cp:lastModifiedBy>
  <cp:revision>2</cp:revision>
  <dcterms:created xsi:type="dcterms:W3CDTF">2025-12-07T23:41:00Z</dcterms:created>
  <dcterms:modified xsi:type="dcterms:W3CDTF">2025-12-07T23:41:00Z</dcterms:modified>
  <cp:category/>
</cp:coreProperties>
</file>