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A90B4D5" w:rsidR="00181ED9" w:rsidRPr="009422FB" w:rsidRDefault="005A18F1">
      <w:pPr>
        <w:spacing w:before="240" w:after="240"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 xml:space="preserve">To: The Editors of </w:t>
      </w:r>
      <w:r w:rsidR="005C7323" w:rsidRPr="006A0AE9">
        <w:rPr>
          <w:rFonts w:ascii="Garamond" w:eastAsia="EB Garamond" w:hAnsi="Garamond" w:cs="EB Garamond"/>
          <w:i/>
          <w:iCs/>
          <w:sz w:val="24"/>
          <w:szCs w:val="24"/>
        </w:rPr>
        <w:t>Crop Science</w:t>
      </w:r>
    </w:p>
    <w:p w14:paraId="00000002" w14:textId="13B69FD6" w:rsidR="00181ED9" w:rsidRPr="009422FB" w:rsidRDefault="005A18F1">
      <w:pPr>
        <w:spacing w:before="240" w:after="240"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>Re: Submission of the manuscript, “Local to continent</w:t>
      </w:r>
      <w:r w:rsidR="00A53EAC">
        <w:rPr>
          <w:rFonts w:ascii="Garamond" w:eastAsia="EB Garamond" w:hAnsi="Garamond" w:cs="EB Garamond"/>
          <w:sz w:val="24"/>
          <w:szCs w:val="24"/>
        </w:rPr>
        <w:t>al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-scale variation in </w:t>
      </w:r>
      <w:r w:rsidR="00BA2F77" w:rsidRPr="009422FB">
        <w:rPr>
          <w:rFonts w:ascii="Garamond" w:eastAsia="EB Garamond" w:hAnsi="Garamond" w:cs="EB Garamond"/>
          <w:sz w:val="24"/>
          <w:szCs w:val="24"/>
        </w:rPr>
        <w:t>fitness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and heritability in common bean (</w:t>
      </w:r>
      <w:r w:rsidRPr="009422FB">
        <w:rPr>
          <w:rFonts w:ascii="Garamond" w:eastAsia="EB Garamond" w:hAnsi="Garamond" w:cs="EB Garamond"/>
          <w:i/>
          <w:sz w:val="24"/>
          <w:szCs w:val="24"/>
        </w:rPr>
        <w:t>Phaseolus vulgaris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)”.  </w:t>
      </w:r>
    </w:p>
    <w:p w14:paraId="00000003" w14:textId="77777777" w:rsidR="00181ED9" w:rsidRPr="009422FB" w:rsidRDefault="005A18F1">
      <w:pPr>
        <w:spacing w:before="240" w:after="240"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  <w:highlight w:val="white"/>
        </w:rPr>
        <w:t xml:space="preserve">Dear Editors, </w:t>
      </w:r>
    </w:p>
    <w:p w14:paraId="00000004" w14:textId="07E7A7DD" w:rsidR="00181ED9" w:rsidRPr="009422FB" w:rsidRDefault="005A18F1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 xml:space="preserve">We are pleased to submit this manuscript for consideration to </w:t>
      </w:r>
      <w:r w:rsidR="005C7323">
        <w:rPr>
          <w:rFonts w:ascii="Garamond" w:eastAsia="EB Garamond" w:hAnsi="Garamond" w:cs="EB Garamond"/>
          <w:i/>
          <w:sz w:val="24"/>
          <w:szCs w:val="24"/>
        </w:rPr>
        <w:t>Crop Science</w:t>
      </w:r>
      <w:r w:rsidRPr="009422FB">
        <w:rPr>
          <w:rFonts w:ascii="Garamond" w:eastAsia="EB Garamond" w:hAnsi="Garamond" w:cs="EB Garamond"/>
          <w:sz w:val="24"/>
          <w:szCs w:val="24"/>
        </w:rPr>
        <w:t>. We believe it will support the journal’s tradition of publishing papers of relevance to scientists interested in understanding the roles of selection and genetic variation in shaping the</w:t>
      </w:r>
      <w:r w:rsidRPr="009422FB">
        <w:rPr>
          <w:rFonts w:ascii="Garamond" w:eastAsia="EB Garamond" w:hAnsi="Garamond" w:cs="EB Garamond"/>
          <w:b/>
          <w:sz w:val="24"/>
          <w:szCs w:val="24"/>
        </w:rPr>
        <w:t xml:space="preserve"> 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>performance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of </w:t>
      </w:r>
      <w:r w:rsidR="00C92BF3" w:rsidRPr="009422FB">
        <w:rPr>
          <w:rFonts w:ascii="Garamond" w:eastAsia="EB Garamond" w:hAnsi="Garamond" w:cs="EB Garamond"/>
          <w:sz w:val="24"/>
          <w:szCs w:val="24"/>
        </w:rPr>
        <w:t xml:space="preserve">agronomic </w:t>
      </w:r>
      <w:r w:rsidRPr="009422FB">
        <w:rPr>
          <w:rFonts w:ascii="Garamond" w:eastAsia="EB Garamond" w:hAnsi="Garamond" w:cs="EB Garamond"/>
          <w:sz w:val="24"/>
          <w:szCs w:val="24"/>
        </w:rPr>
        <w:t>crop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 xml:space="preserve">s </w:t>
      </w:r>
      <w:r w:rsidRPr="009422FB">
        <w:rPr>
          <w:rFonts w:ascii="Garamond" w:eastAsia="EB Garamond" w:hAnsi="Garamond" w:cs="EB Garamond"/>
          <w:sz w:val="24"/>
          <w:szCs w:val="24"/>
        </w:rPr>
        <w:t>across changing conditions. We quantified the impact of domestication and recent selection histories on the local adaptation and</w:t>
      </w:r>
      <w:r w:rsidR="00BA2F77" w:rsidRPr="009422FB">
        <w:rPr>
          <w:rFonts w:ascii="Garamond" w:eastAsia="EB Garamond" w:hAnsi="Garamond" w:cs="EB Garamond"/>
          <w:sz w:val="24"/>
          <w:szCs w:val="24"/>
        </w:rPr>
        <w:t xml:space="preserve"> yield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heritability of </w:t>
      </w:r>
      <w:r w:rsidRPr="009422FB">
        <w:rPr>
          <w:rFonts w:ascii="Garamond" w:eastAsia="EB Garamond" w:hAnsi="Garamond" w:cs="EB Garamond"/>
          <w:i/>
          <w:sz w:val="24"/>
          <w:szCs w:val="24"/>
        </w:rPr>
        <w:t xml:space="preserve">Phaseolus vulgaris 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(common bean). </w:t>
      </w:r>
      <w:r w:rsidRPr="009422FB">
        <w:rPr>
          <w:rFonts w:ascii="Garamond" w:eastAsia="EB Garamond" w:hAnsi="Garamond" w:cs="EB Garamond"/>
          <w:i/>
          <w:sz w:val="24"/>
          <w:szCs w:val="24"/>
        </w:rPr>
        <w:t>P. vulgaris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is a unique model system for studying these processes: It was independently domesticated multiple times from different </w:t>
      </w:r>
      <w:proofErr w:type="spellStart"/>
      <w:r w:rsidRPr="009422FB">
        <w:rPr>
          <w:rFonts w:ascii="Garamond" w:eastAsia="EB Garamond" w:hAnsi="Garamond" w:cs="EB Garamond"/>
          <w:sz w:val="24"/>
          <w:szCs w:val="24"/>
        </w:rPr>
        <w:t>genepools</w:t>
      </w:r>
      <w:proofErr w:type="spellEnd"/>
      <w:r w:rsidRPr="009422FB">
        <w:rPr>
          <w:rFonts w:ascii="Garamond" w:eastAsia="EB Garamond" w:hAnsi="Garamond" w:cs="EB Garamond"/>
          <w:sz w:val="24"/>
          <w:szCs w:val="24"/>
        </w:rPr>
        <w:t>; one of the domestication events resulted in an unusual increase in genetic diversity; and modern selection has occurred at both continental and regional scales simultaneously. We used data from the Cooperative Dry Bean Nursery (CDBN), a continental-scale multiple environment trial with 35 years of phenotypic data for over 300 genotyped entries.</w:t>
      </w:r>
    </w:p>
    <w:p w14:paraId="00000005" w14:textId="77777777" w:rsidR="00181ED9" w:rsidRPr="009422FB" w:rsidRDefault="00181ED9">
      <w:pPr>
        <w:spacing w:line="240" w:lineRule="auto"/>
        <w:ind w:firstLine="720"/>
        <w:rPr>
          <w:rFonts w:ascii="Garamond" w:eastAsia="EB Garamond" w:hAnsi="Garamond" w:cs="EB Garamond"/>
          <w:sz w:val="24"/>
          <w:szCs w:val="24"/>
        </w:rPr>
      </w:pPr>
    </w:p>
    <w:p w14:paraId="00000006" w14:textId="1D19DA2F" w:rsidR="00181ED9" w:rsidRPr="009422FB" w:rsidRDefault="005A18F1">
      <w:pPr>
        <w:spacing w:line="240" w:lineRule="auto"/>
        <w:rPr>
          <w:rFonts w:ascii="Garamond" w:eastAsia="EB Garamond" w:hAnsi="Garamond" w:cs="EB Garamond"/>
          <w:b/>
          <w:sz w:val="24"/>
          <w:szCs w:val="24"/>
        </w:rPr>
      </w:pPr>
      <w:r w:rsidRPr="009422FB">
        <w:rPr>
          <w:rFonts w:ascii="Garamond" w:eastAsia="EB Garamond" w:hAnsi="Garamond" w:cs="EB Garamond"/>
          <w:b/>
          <w:sz w:val="24"/>
          <w:szCs w:val="24"/>
        </w:rPr>
        <w:t>We specifically addressed the Questions:</w:t>
      </w:r>
    </w:p>
    <w:p w14:paraId="00000007" w14:textId="77777777" w:rsidR="00181ED9" w:rsidRPr="009422FB" w:rsidRDefault="005A18F1">
      <w:pPr>
        <w:numPr>
          <w:ilvl w:val="0"/>
          <w:numId w:val="1"/>
        </w:num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 xml:space="preserve">How has recent selection history impacted yield heritability in two </w:t>
      </w:r>
      <w:proofErr w:type="spellStart"/>
      <w:r w:rsidRPr="009422FB">
        <w:rPr>
          <w:rFonts w:ascii="Garamond" w:eastAsia="EB Garamond" w:hAnsi="Garamond" w:cs="EB Garamond"/>
          <w:sz w:val="24"/>
          <w:szCs w:val="24"/>
        </w:rPr>
        <w:t>genepools</w:t>
      </w:r>
      <w:proofErr w:type="spellEnd"/>
      <w:r w:rsidRPr="009422FB">
        <w:rPr>
          <w:rFonts w:ascii="Garamond" w:eastAsia="EB Garamond" w:hAnsi="Garamond" w:cs="EB Garamond"/>
          <w:sz w:val="24"/>
          <w:szCs w:val="24"/>
        </w:rPr>
        <w:t xml:space="preserve"> of </w:t>
      </w:r>
      <w:r w:rsidRPr="009422FB">
        <w:rPr>
          <w:rFonts w:ascii="Garamond" w:eastAsia="EB Garamond" w:hAnsi="Garamond" w:cs="EB Garamond"/>
          <w:i/>
          <w:sz w:val="24"/>
          <w:szCs w:val="24"/>
        </w:rPr>
        <w:t>P. vulgaris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? </w:t>
      </w:r>
    </w:p>
    <w:p w14:paraId="00000008" w14:textId="77777777" w:rsidR="00181ED9" w:rsidRPr="009422FB" w:rsidRDefault="005A18F1">
      <w:pPr>
        <w:numPr>
          <w:ilvl w:val="0"/>
          <w:numId w:val="1"/>
        </w:num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>How has selection for both broad and regional adaptation affected environmental specialization?</w:t>
      </w:r>
    </w:p>
    <w:p w14:paraId="00000009" w14:textId="77777777" w:rsidR="00181ED9" w:rsidRPr="009422FB" w:rsidRDefault="00181ED9">
      <w:pPr>
        <w:spacing w:line="240" w:lineRule="auto"/>
        <w:ind w:firstLine="720"/>
        <w:rPr>
          <w:rFonts w:ascii="Garamond" w:eastAsia="EB Garamond" w:hAnsi="Garamond" w:cs="EB Garamond"/>
          <w:sz w:val="24"/>
          <w:szCs w:val="24"/>
        </w:rPr>
      </w:pPr>
    </w:p>
    <w:p w14:paraId="0000000E" w14:textId="2EF98377" w:rsidR="00181ED9" w:rsidRPr="009422FB" w:rsidRDefault="005A18F1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>To answer these, we characterize adaptability using complimentary metrics: the recently-derived “home field advantage”, which quantifies site specialization of individual entries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 xml:space="preserve"> through site-specific yield gains</w:t>
      </w:r>
      <w:r w:rsidRPr="009422FB">
        <w:rPr>
          <w:rFonts w:ascii="Garamond" w:eastAsia="EB Garamond" w:hAnsi="Garamond" w:cs="EB Garamond"/>
          <w:sz w:val="24"/>
          <w:szCs w:val="24"/>
        </w:rPr>
        <w:t>, and population-level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 xml:space="preserve"> yield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heritability. These metrics were dynamic across locations and time, sensitive to major gene introgressions, and spatially independent. They revealed nuanced, actionable insights into the potential of 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>crop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populations to maintain 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>performance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in changing conditions. 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>Given the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unprecedente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 xml:space="preserve">d pressures of food demand, environmental degradation, and climate instability, the ability to select varieties that are adapted </w:t>
      </w:r>
      <w:r w:rsidRPr="009422FB">
        <w:rPr>
          <w:rFonts w:ascii="Garamond" w:eastAsia="EB Garamond" w:hAnsi="Garamond" w:cs="EB Garamond"/>
          <w:sz w:val="24"/>
          <w:szCs w:val="24"/>
        </w:rPr>
        <w:t>to new conditions will be critical to maintain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>ing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oft-precarious local food security.   </w:t>
      </w:r>
    </w:p>
    <w:p w14:paraId="0000000F" w14:textId="77777777" w:rsidR="00181ED9" w:rsidRPr="009422FB" w:rsidRDefault="00181ED9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</w:p>
    <w:p w14:paraId="00000010" w14:textId="10C349F9" w:rsidR="00181ED9" w:rsidRPr="009422FB" w:rsidRDefault="005A18F1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 xml:space="preserve">We anticipate that this paper will further 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>support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</w:t>
      </w:r>
      <w:r w:rsidR="006A09CA">
        <w:rPr>
          <w:rFonts w:ascii="Garamond" w:eastAsia="EB Garamond" w:hAnsi="Garamond" w:cs="EB Garamond"/>
          <w:i/>
          <w:sz w:val="24"/>
          <w:szCs w:val="24"/>
        </w:rPr>
        <w:t>Crop Science</w:t>
      </w:r>
      <w:r w:rsidR="006A09CA">
        <w:rPr>
          <w:rFonts w:ascii="Garamond" w:eastAsia="EB Garamond" w:hAnsi="Garamond" w:cs="EB Garamond"/>
          <w:iCs/>
          <w:sz w:val="24"/>
          <w:szCs w:val="24"/>
        </w:rPr>
        <w:t>’s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</w:t>
      </w:r>
      <w:r w:rsidR="006A09CA">
        <w:rPr>
          <w:rFonts w:ascii="Garamond" w:eastAsia="EB Garamond" w:hAnsi="Garamond" w:cs="EB Garamond"/>
          <w:sz w:val="24"/>
          <w:szCs w:val="24"/>
        </w:rPr>
        <w:t>goals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by highlighting how local adaptation and spatial differences in heritability 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>may be leveraged to improve the performance of agronomic crops</w:t>
      </w:r>
      <w:r w:rsidRPr="009422FB">
        <w:rPr>
          <w:rFonts w:ascii="Garamond" w:eastAsia="EB Garamond" w:hAnsi="Garamond" w:cs="EB Garamond"/>
          <w:sz w:val="24"/>
          <w:szCs w:val="24"/>
        </w:rPr>
        <w:t>. On behalf of my co-authors, thank you for your consideration. We look forward to working with you.</w:t>
      </w:r>
    </w:p>
    <w:p w14:paraId="00000011" w14:textId="77777777" w:rsidR="00181ED9" w:rsidRPr="009422FB" w:rsidRDefault="00181ED9">
      <w:pPr>
        <w:spacing w:line="240" w:lineRule="auto"/>
        <w:rPr>
          <w:rFonts w:ascii="Garamond" w:eastAsia="EB Garamond" w:hAnsi="Garamond" w:cs="EB Garamond"/>
          <w:b/>
          <w:sz w:val="24"/>
          <w:szCs w:val="24"/>
        </w:rPr>
      </w:pPr>
    </w:p>
    <w:p w14:paraId="00000012" w14:textId="77777777" w:rsidR="00181ED9" w:rsidRPr="009422FB" w:rsidRDefault="005A18F1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 xml:space="preserve">With kind regards, </w:t>
      </w:r>
    </w:p>
    <w:p w14:paraId="00000013" w14:textId="77777777" w:rsidR="00181ED9" w:rsidRPr="009422FB" w:rsidRDefault="00181ED9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</w:p>
    <w:p w14:paraId="00000014" w14:textId="77777777" w:rsidR="00181ED9" w:rsidRPr="009422FB" w:rsidRDefault="005A18F1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>Dr. Patrick Ewing</w:t>
      </w:r>
    </w:p>
    <w:p w14:paraId="00000015" w14:textId="7D16B6DB" w:rsidR="00181ED9" w:rsidRPr="009422FB" w:rsidRDefault="005A18F1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>USDA-ARS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 xml:space="preserve"> North Central Agricultural Research Laboratory</w:t>
      </w:r>
    </w:p>
    <w:p w14:paraId="0A240A05" w14:textId="13C25660" w:rsidR="00C2024F" w:rsidRPr="009422FB" w:rsidRDefault="00C2024F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>Integrated Cropping Systems Research Unit</w:t>
      </w:r>
    </w:p>
    <w:p w14:paraId="00000016" w14:textId="77777777" w:rsidR="00181ED9" w:rsidRPr="009422FB" w:rsidRDefault="005A18F1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 xml:space="preserve">2923 </w:t>
      </w:r>
      <w:proofErr w:type="spellStart"/>
      <w:r w:rsidRPr="009422FB">
        <w:rPr>
          <w:rFonts w:ascii="Garamond" w:eastAsia="EB Garamond" w:hAnsi="Garamond" w:cs="EB Garamond"/>
          <w:sz w:val="24"/>
          <w:szCs w:val="24"/>
        </w:rPr>
        <w:t>Medary</w:t>
      </w:r>
      <w:proofErr w:type="spellEnd"/>
      <w:r w:rsidRPr="009422FB">
        <w:rPr>
          <w:rFonts w:ascii="Garamond" w:eastAsia="EB Garamond" w:hAnsi="Garamond" w:cs="EB Garamond"/>
          <w:sz w:val="24"/>
          <w:szCs w:val="24"/>
        </w:rPr>
        <w:t xml:space="preserve"> Avenue</w:t>
      </w:r>
    </w:p>
    <w:p w14:paraId="00000017" w14:textId="67AFB573" w:rsidR="00181ED9" w:rsidRPr="009422FB" w:rsidRDefault="005A18F1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>Brookings, SD, USA</w:t>
      </w:r>
    </w:p>
    <w:sectPr w:rsidR="00181ED9" w:rsidRPr="009422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B Garamo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D2C56"/>
    <w:multiLevelType w:val="multilevel"/>
    <w:tmpl w:val="1B54CF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ED9"/>
    <w:rsid w:val="00134FE9"/>
    <w:rsid w:val="00181ED9"/>
    <w:rsid w:val="005A18F1"/>
    <w:rsid w:val="005C7323"/>
    <w:rsid w:val="006A09CA"/>
    <w:rsid w:val="006A0AE9"/>
    <w:rsid w:val="009422FB"/>
    <w:rsid w:val="00A53EAC"/>
    <w:rsid w:val="00BA2F77"/>
    <w:rsid w:val="00C2024F"/>
    <w:rsid w:val="00C92BF3"/>
    <w:rsid w:val="00DA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EB82"/>
  <w15:docId w15:val="{AEC33E35-552D-487B-9253-7C7214FD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Ewing, Patrick - ARS</dc:creator>
  <cp:lastModifiedBy>Ewing, Patrick - ARS</cp:lastModifiedBy>
  <cp:revision>10</cp:revision>
  <dcterms:created xsi:type="dcterms:W3CDTF">2021-06-26T18:05:00Z</dcterms:created>
  <dcterms:modified xsi:type="dcterms:W3CDTF">2021-07-12T15:21:00Z</dcterms:modified>
</cp:coreProperties>
</file>