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International Center for Tropical Agriculture (CIAT), Cali, Colombia</w:t>
      </w:r>
    </w:p>
    <w:p w14:paraId="695B70C5"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689C468" w14:textId="77777777" w:rsidR="00AF7B85" w:rsidRDefault="000E71B2">
      <w:pPr>
        <w:pStyle w:val="Standard"/>
        <w:keepNext/>
        <w:keepLines/>
        <w:widowControl/>
        <w:spacing w:after="240" w:line="240" w:lineRule="auto"/>
      </w:pPr>
      <w:r>
        <w:rPr>
          <w:rFonts w:ascii="Garamond" w:eastAsia="Garamond" w:hAnsi="Garamond" w:cs="Garamond"/>
          <w:color w:val="000000"/>
        </w:rPr>
        <w:t>* Corresponding author</w:t>
      </w:r>
    </w:p>
    <w:p w14:paraId="5E409190" w14:textId="77777777" w:rsidR="00AF7B85" w:rsidRDefault="000E71B2">
      <w:pPr>
        <w:pStyle w:val="Heading1"/>
        <w:pageBreakBefore/>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genepool)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genepool)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3916B042"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Trucci et al, 2021). </w:t>
      </w:r>
      <w:r>
        <w:rPr>
          <w:rFonts w:ascii="Garamond" w:eastAsia="Garamond" w:hAnsi="Garamond" w:cs="Garamond"/>
          <w:color w:val="000000"/>
        </w:rPr>
        <w:tab/>
      </w:r>
    </w:p>
    <w:p w14:paraId="042C16A0" w14:textId="77777777" w:rsidR="00AF7B85" w:rsidRDefault="000E71B2">
      <w:pPr>
        <w:pStyle w:val="Standard"/>
        <w:widowControl/>
        <w:spacing w:after="240" w:line="480" w:lineRule="auto"/>
        <w:ind w:firstLine="360"/>
      </w:pPr>
      <w:r>
        <w:rPr>
          <w:rFonts w:ascii="Garamond" w:eastAsia="Garamond" w:hAnsi="Garamond" w:cs="Garamond"/>
          <w:color w:val="000000"/>
        </w:rPr>
        <w:t>Common bean is the most important food legume for direct human consumption. Common bean is currently grown on over 35 million ha and in nearly every country that records agricultural statistics (FAOSTAT 2015). This area encompasses across 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 xml:space="preserve">S), altitudes (50-3000 m), growth temperatures (14-26 C), and average yearly precipitation (400-1600 mm) and precipitation regimes (Singh 1989; FAOSTAT 2015). In contrast, the habitat niche of wild common bean is narrow (Gepts 2009). The wild ancestors of common bean originated in central America (Bitocchi et al 2012) and were dispersed to the Andes ~165,000 years ago with a strong genetic bottleneck that lasted ~76,000 years (Schmutz et al 2014). From these two wild gene pools, common bean was domesticated at least twice, once in Mesoamerica (the ‘Middle American’ genepool) and once in the Andes (Gepts, et al. 1986; Schmutz, et al. 2014). The domestication </w:t>
      </w:r>
      <w:r>
        <w:rPr>
          <w:rFonts w:ascii="Garamond" w:eastAsia="Garamond" w:hAnsi="Garamond" w:cs="Garamond"/>
          <w:color w:val="000000"/>
        </w:rPr>
        <w:lastRenderedPageBreak/>
        <w:t>bottleneck was stronger in the Middle American than in the Andean genepool, probably because loss of diversity occurred in the Andes before domestication (Gepts et al., 1986; Bitocchi et al., 2012; Bellucci et al., 2014; Schmutz et al., 2014). Common bean was widely cultivated in Mexico and North America pre-European contact (Kaplan 1965), and New World settlers cultivated common bean from landraces maintained by Native Americans, primarily from the Middle American genepool, and later from European re-introductions, primarily from the Andean genepool (Vandemark et al 2014). These complex histories led to differences in genetic diversity, yield potential, and selection intensity among different races within these genepools.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(Levins, 1962; Botero et al 2015).</w:t>
      </w:r>
    </w:p>
    <w:p w14:paraId="2A6CB772" w14:textId="77777777"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heritabilities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Gepts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p>
    <w:p w14:paraId="27C6472E" w14:textId="77777777" w:rsidR="00AF7B85" w:rsidRDefault="00AF7B85">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 specialists that may contain large-effect candidate loci for introgression.</w:t>
            </w:r>
          </w:p>
        </w:tc>
      </w:tr>
      <w:tr w:rsidR="00AF7B85" w14:paraId="46315E70" w14:textId="77777777">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genepools.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and across races and genepools. We expected to observe substantial differences in heritability across space due to environmental differences (Wilson et al 2006; Finlay and Wilkinson, 1963). We also expected to observe decreases in heritability over time in the Middle American genepool as genetic sources of yield variation were eliminated, and potential increases in heritability over time in the Andean genepool,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pPr>
        <w:pStyle w:val="Heading1"/>
        <w:numPr>
          <w:ilvl w:val="0"/>
          <w:numId w:val="1"/>
        </w:numPr>
        <w:ind w:left="360"/>
      </w:pPr>
      <w:bookmarkStart w:id="0" w:name="_30j0zll"/>
      <w:bookmarkEnd w:id="0"/>
      <w:r>
        <w:t>MATERIALS AND METHODS</w:t>
      </w:r>
    </w:p>
    <w:p w14:paraId="36016692" w14:textId="77777777" w:rsidR="00AF7B85" w:rsidRDefault="000E71B2">
      <w:pPr>
        <w:pStyle w:val="Heading2"/>
        <w:numPr>
          <w:ilvl w:val="1"/>
          <w:numId w:val="1"/>
        </w:numPr>
        <w:tabs>
          <w:tab w:val="left" w:pos="0"/>
        </w:tabs>
      </w:pPr>
      <w:bookmarkStart w:id="1" w:name="_1fob9te"/>
      <w:bookmarkEnd w:id="1"/>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The majority of these entries are members of one of three of the seven races of common bean; two of these races, Durango and Mesoamerican, arose from the Middle American domestication event and are more genetically diverse than Nueva Granada, which arose from the Andean domestication events (Mamidi, et al. 2011). 13,989 yield data points were used in this analysis.</w:t>
      </w:r>
    </w:p>
    <w:p w14:paraId="2482176F"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Heritabilities from different years within locations reflect both environmental differences across years and a change in the complement of genotypes used to compute the heritability.</w:t>
      </w:r>
    </w:p>
    <w:p w14:paraId="62FB7EE7" w14:textId="77777777" w:rsidR="00AF7B85" w:rsidRDefault="000E71B2">
      <w:pPr>
        <w:pStyle w:val="Heading2"/>
        <w:numPr>
          <w:ilvl w:val="1"/>
          <w:numId w:val="1"/>
        </w:numPr>
        <w:tabs>
          <w:tab w:val="left" w:pos="0"/>
        </w:tabs>
      </w:pPr>
      <w:bookmarkStart w:id="2" w:name="_3znysh7"/>
      <w:bookmarkEnd w:id="2"/>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We first assessed overall fitness and fitness gains across the study period within three groups of CDBN entries: entries from the Nueva Granada race from the Andean genepool, and entries from two genetically distinct races within the Middle American genepool, the Durango and the Mesoamerican race using linear modeling.</w:t>
      </w:r>
    </w:p>
    <w:p w14:paraId="6FB5C8CE" w14:textId="77777777" w:rsidR="00AF7B85" w:rsidRDefault="000E71B2">
      <w:pPr>
        <w:pStyle w:val="Standard"/>
        <w:widowControl/>
        <w:spacing w:after="240" w:line="480" w:lineRule="auto"/>
        <w:ind w:firstLine="360"/>
      </w:pPr>
      <w:r>
        <w:rPr>
          <w:rFonts w:ascii="Garamond" w:eastAsia="Garamond" w:hAnsi="Garamond" w:cs="Garamond"/>
          <w:color w:val="000000"/>
        </w:rPr>
        <w:t>We then quantified HFA. Home field advantage is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w:t>
      </w:r>
    </w:p>
    <w:p w14:paraId="2BE57F79"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r>
        <w:rPr>
          <w:rFonts w:ascii="Garamond" w:eastAsia="Garamond" w:hAnsi="Garamond" w:cs="Garamond"/>
          <w:i/>
          <w:color w:val="000000"/>
        </w:rPr>
        <w:t>i</w:t>
      </w:r>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 Model 2 added a predictor for HFA, a binary indicator of whether a site was that variety’s home. Model 3 added terms for genetic relatedness to the base model. Genetic relatedness was determined using the </w:t>
      </w:r>
      <w:r>
        <w:rPr>
          <w:rFonts w:ascii="Garamond" w:eastAsia="Garamond" w:hAnsi="Garamond" w:cs="Garamond"/>
          <w:i/>
          <w:color w:val="000000"/>
        </w:rPr>
        <w:t>snp_autoSVD</w:t>
      </w:r>
      <w:r>
        <w:rPr>
          <w:rFonts w:ascii="Garamond" w:eastAsia="Garamond" w:hAnsi="Garamond" w:cs="Garamond"/>
          <w:color w:val="000000"/>
        </w:rPr>
        <w:t xml:space="preserve"> function of the </w:t>
      </w:r>
      <w:r>
        <w:rPr>
          <w:rFonts w:ascii="Garamond" w:eastAsia="Garamond" w:hAnsi="Garamond" w:cs="Garamond"/>
          <w:i/>
          <w:color w:val="000000"/>
        </w:rPr>
        <w:t>bigsnpr</w:t>
      </w:r>
      <w:r>
        <w:rPr>
          <w:rFonts w:ascii="Garamond" w:eastAsia="Garamond" w:hAnsi="Garamond" w:cs="Garamond"/>
          <w:color w:val="000000"/>
        </w:rPr>
        <w:t xml:space="preserve"> R package (Prive et al 2017), using 1,221,540 SNPs genotyped previously using genotyping by seqeuncing (MacQueen et al 2020); we used the first three principal components of the singular value decompositions of linkage-adjusted SNP matrices (Figure S1).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r>
        <w:rPr>
          <w:rFonts w:ascii="Garamond" w:eastAsia="Garamond" w:hAnsi="Garamond" w:cs="Garamond"/>
          <w:i/>
          <w:color w:val="000000"/>
        </w:rPr>
        <w:t>Anova</w:t>
      </w:r>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pPr>
        <w:pStyle w:val="Heading2"/>
        <w:numPr>
          <w:ilvl w:val="1"/>
          <w:numId w:val="1"/>
        </w:numPr>
        <w:tabs>
          <w:tab w:val="left" w:pos="0"/>
        </w:tabs>
      </w:pPr>
      <w:bookmarkStart w:id="3" w:name="_2et92p0"/>
      <w:bookmarkEnd w:id="3"/>
      <w:r>
        <w:lastRenderedPageBreak/>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7777777" w:rsidR="00AF7B85" w:rsidRDefault="00013F4F">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77777777" w:rsidR="00AF7B85" w:rsidRDefault="000E71B2">
      <w:pPr>
        <w:pStyle w:val="Standard"/>
        <w:widowControl/>
        <w:spacing w:after="240" w:line="480" w:lineRule="auto"/>
        <w:ind w:firstLine="360"/>
      </w:pPr>
      <w:r>
        <w:rPr>
          <w:rFonts w:ascii="Garamond" w:eastAsia="Garamond" w:hAnsi="Garamond" w:cs="Garamond"/>
          <w:color w:val="000000"/>
        </w:rPr>
        <w:t>Where V</w:t>
      </w:r>
      <w:r>
        <w:rPr>
          <w:rFonts w:ascii="Garamond" w:eastAsia="Garamond" w:hAnsi="Garamond" w:cs="Garamond"/>
          <w:color w:val="000000"/>
          <w:vertAlign w:val="subscript"/>
        </w:rPr>
        <w:t>entries</w:t>
      </w:r>
      <w:r>
        <w:rPr>
          <w:rFonts w:ascii="Garamond" w:eastAsia="Garamond" w:hAnsi="Garamond" w:cs="Garamond"/>
          <w:color w:val="000000"/>
        </w:rPr>
        <w:t xml:space="preserve"> the variance among the entries, environment is the number of locations in the study and MS</w:t>
      </w:r>
      <w:r>
        <w:rPr>
          <w:rFonts w:ascii="Garamond" w:eastAsia="Garamond" w:hAnsi="Garamond" w:cs="Garamond"/>
          <w:color w:val="000000"/>
          <w:vertAlign w:val="subscript"/>
        </w:rPr>
        <w:t>entries</w:t>
      </w:r>
      <w:r>
        <w:rPr>
          <w:rFonts w:ascii="Garamond" w:eastAsia="Garamond" w:hAnsi="Garamond" w:cs="Garamond"/>
          <w:color w:val="000000"/>
        </w:rPr>
        <w:t xml:space="preserve"> is the squared value of expected yields for the entries (Bernardo, 2020, page 163).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(Furrer et al., 2009). For spatial variation, heritability was the average heritability over the 35-year study period and across races.</w:t>
      </w:r>
    </w:p>
    <w:p w14:paraId="615BA744" w14:textId="77777777" w:rsidR="00AF7B85" w:rsidRDefault="000E71B2">
      <w:pPr>
        <w:pStyle w:val="Heading2"/>
        <w:numPr>
          <w:ilvl w:val="1"/>
          <w:numId w:val="1"/>
        </w:numPr>
        <w:tabs>
          <w:tab w:val="left" w:pos="0"/>
        </w:tabs>
      </w:pPr>
      <w:bookmarkStart w:id="4" w:name="_tyjcwt"/>
      <w:bookmarkEnd w:id="4"/>
      <w:r>
        <w:t>2.4 Relationship between home field advantage, heritability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Pr>
          <w:rFonts w:ascii="Garamond" w:eastAsia="Garamond" w:hAnsi="Garamond" w:cs="Garamond"/>
          <w:i/>
          <w:color w:val="000000"/>
        </w:rPr>
        <w:t xml:space="preserve">sp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pPr>
        <w:pStyle w:val="Heading2"/>
        <w:numPr>
          <w:ilvl w:val="1"/>
          <w:numId w:val="1"/>
        </w:numPr>
        <w:tabs>
          <w:tab w:val="left" w:pos="0"/>
        </w:tabs>
      </w:pPr>
      <w:bookmarkStart w:id="5" w:name="_3dy6vkm"/>
      <w:bookmarkEnd w:id="5"/>
      <w:r>
        <w:lastRenderedPageBreak/>
        <w:t>2.5 Statistical analysis</w:t>
      </w:r>
    </w:p>
    <w:p w14:paraId="57F1075E" w14:textId="77777777" w:rsidR="00AF7B85" w:rsidRDefault="000E71B2">
      <w:pPr>
        <w:pStyle w:val="Standard"/>
        <w:widowControl/>
        <w:spacing w:after="240" w:line="480" w:lineRule="auto"/>
        <w:ind w:firstLine="360"/>
      </w:pPr>
      <w:bookmarkStart w:id="6" w:name="_1t3h5sf"/>
      <w:bookmarkEnd w:id="6"/>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r>
        <w:rPr>
          <w:rFonts w:ascii="Garamond" w:eastAsia="Garamond" w:hAnsi="Garamond" w:cs="Garamond"/>
          <w:i/>
          <w:color w:val="000000"/>
        </w:rPr>
        <w:t>ggpmisc</w:t>
      </w:r>
      <w:r>
        <w:rPr>
          <w:rFonts w:ascii="Garamond" w:eastAsia="Garamond" w:hAnsi="Garamond" w:cs="Garamond"/>
          <w:color w:val="000000"/>
        </w:rPr>
        <w:t xml:space="preserve"> 0.3.3 (R Core Team, 2020; Wickham, 2016; Aphalo, 2019); centering and scaling refer to a group mean of zero and standard deviation of one; errors are standard.</w:t>
      </w:r>
    </w:p>
    <w:p w14:paraId="54B48E65" w14:textId="77777777" w:rsidR="00AF7B85" w:rsidRDefault="000E71B2">
      <w:pPr>
        <w:pStyle w:val="Heading1"/>
        <w:numPr>
          <w:ilvl w:val="0"/>
          <w:numId w:val="1"/>
        </w:numPr>
        <w:ind w:left="360"/>
      </w:pPr>
      <w:bookmarkStart w:id="7" w:name="_4d34og8"/>
      <w:bookmarkEnd w:id="7"/>
      <w:r>
        <w:t>RESULTS</w:t>
      </w:r>
    </w:p>
    <w:p w14:paraId="2DC78C17" w14:textId="77777777" w:rsidR="00AF7B85" w:rsidRDefault="000E71B2">
      <w:pPr>
        <w:pStyle w:val="Heading2"/>
        <w:numPr>
          <w:ilvl w:val="1"/>
          <w:numId w:val="1"/>
        </w:numPr>
        <w:tabs>
          <w:tab w:val="left" w:pos="0"/>
        </w:tabs>
      </w:pPr>
      <w:r>
        <w:t>3.1 Home Field Advantage</w:t>
      </w:r>
    </w:p>
    <w:p w14:paraId="5B560833" w14:textId="77777777"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S1):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4AA6CF10" wp14:editId="7C626815">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n.s.: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genepools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S2). These three PCs accounted for 39%, 44%, and 42% of genetic variance in the Nueva Granada, Durango, and Mesoamerican entries, respectively (Figure S1).</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77777777" w:rsidR="00AF7B85" w:rsidRDefault="000E71B2">
      <w:pPr>
        <w:pStyle w:val="Standard"/>
        <w:widowControl/>
        <w:spacing w:after="240" w:line="480" w:lineRule="auto"/>
        <w:ind w:firstLine="360"/>
      </w:pPr>
      <w:r>
        <w:rPr>
          <w:rFonts w:ascii="Garamond" w:eastAsia="Garamond" w:hAnsi="Garamond" w:cs="Garamond"/>
          <w:color w:val="000000"/>
        </w:rPr>
        <w:t>We next determined if race-average HFA were larger than expected and whether these average HFA were agronomically significant. Nueva Granada entries had 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w:t>
      </w:r>
      <w:r>
        <w:rPr>
          <w:rFonts w:ascii="Garamond" w:eastAsia="Garamond" w:hAnsi="Garamond" w:cs="Garamond"/>
          <w:color w:val="000000"/>
        </w:rPr>
        <w:lastRenderedPageBreak/>
        <w:t>Durango HFA was 15% of expected 2015 yields, equivalent to 34 years of yield gains for this race.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 and equivalent to 22 years of yield gains for this race. Thus, some environmental specialization had been preserved in modern North American varieties deriving from the Mesoamerican race, but not the Nueva Granada race.</w:t>
      </w:r>
    </w:p>
    <w:p w14:paraId="3F1E7DD5" w14:textId="77777777"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S3).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pPr>
        <w:pStyle w:val="Heading2"/>
        <w:numPr>
          <w:ilvl w:val="1"/>
          <w:numId w:val="1"/>
        </w:numPr>
        <w:tabs>
          <w:tab w:val="left" w:pos="0"/>
        </w:tabs>
      </w:pPr>
      <w:r>
        <w:t>3.2 Spatial and Temporal Decay in Heritability</w:t>
      </w:r>
    </w:p>
    <w:p w14:paraId="73CD0C24" w14:textId="77777777" w:rsidR="00AF7B85" w:rsidRDefault="000E71B2">
      <w:pPr>
        <w:pStyle w:val="Standard"/>
        <w:widowControl/>
        <w:spacing w:after="240" w:line="480" w:lineRule="auto"/>
        <w:ind w:firstLine="360"/>
      </w:pPr>
      <w:bookmarkStart w:id="8" w:name="_2s8eyo1"/>
      <w:bookmarkEnd w:id="8"/>
      <w:r>
        <w:rPr>
          <w:rFonts w:ascii="Garamond" w:eastAsia="Garamond" w:hAnsi="Garamond" w:cs="Garamond"/>
          <w:color w:val="000000"/>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Pr>
          <w:rFonts w:ascii="Garamond" w:eastAsia="Garamond" w:hAnsi="Garamond" w:cs="Garamond"/>
          <w:i/>
          <w:color w:val="000000"/>
        </w:rPr>
        <w:t>p</w:t>
      </w:r>
      <w:r>
        <w:rPr>
          <w:rFonts w:ascii="Garamond" w:eastAsia="Garamond" w:hAnsi="Garamond" w:cs="Garamond"/>
          <w:color w:val="000000"/>
        </w:rPr>
        <w:t xml:space="preserve"> = 0.014, Figure S3A). Location-specific 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Figure S3B).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w:t>
      </w:r>
      <w:r>
        <w:rPr>
          <w:rFonts w:ascii="Garamond" w:eastAsia="Garamond" w:hAnsi="Garamond" w:cs="Garamond"/>
          <w:color w:val="000000"/>
        </w:rPr>
        <w:lastRenderedPageBreak/>
        <w:t>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C57C4F4"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70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pPr>
        <w:pStyle w:val="Heading1"/>
        <w:numPr>
          <w:ilvl w:val="0"/>
          <w:numId w:val="1"/>
        </w:numPr>
        <w:ind w:left="360"/>
      </w:pPr>
      <w:r>
        <w:t>DISCUSSION</w:t>
      </w:r>
    </w:p>
    <w:p w14:paraId="648C0B4D" w14:textId="77777777" w:rsidR="00AF7B85" w:rsidRDefault="000E71B2">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(Levins,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1D68D041" w14:textId="77777777" w:rsidR="00AF7B85" w:rsidRDefault="000E71B2">
      <w:pPr>
        <w:pStyle w:val="Standard"/>
        <w:keepNext/>
        <w:keepLines/>
        <w:widowControl/>
        <w:spacing w:after="0" w:line="240" w:lineRule="auto"/>
        <w:jc w:val="center"/>
      </w:pPr>
      <w:r>
        <w:rPr>
          <w:noProof/>
        </w:rPr>
        <w:lastRenderedPageBreak/>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77777777"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A) Relationship between yield heritability and home field advantage at each site, by race. Lines indicate the median value for heritability and home field advantage across all sites. B) Top locations (quadrant I) for selecting for home field advantage. D – Durango; M – Mesoamerican; N – Nueva Granada races. Figure S3 identifies locations with CDBN abbreviations.</w:t>
      </w:r>
    </w:p>
    <w:p w14:paraId="70EC949C"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w:t>
      </w:r>
      <w:r>
        <w:rPr>
          <w:rFonts w:ascii="Garamond" w:eastAsia="Garamond" w:hAnsi="Garamond" w:cs="Garamond"/>
          <w:color w:val="000000"/>
        </w:rPr>
        <w:lastRenderedPageBreak/>
        <w:t>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p>
    <w:p w14:paraId="3F0E187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Given the different evolutionary histories of both genepools pre- and post-domestication, we expected distinct responses to selection in the Andean and Middle American entries over the course of the CDBN. The low-yielding, low genetic diversity Nueva Granada entries from the Andean genepool experienced modest improvements in yield across the study period and showed little evidence of local adaptation to specific regions within North America. Nonetheless, there was strong evidence for increasing adaptation at a continental scale, in that yield heritability increased in this race over the 35-year study period. These increases in yield heritability over time occurred without an increase in HFA.  We thus suggest that Andean CDBN entries still lack genetic variation conferring adaptation to North American growing conditions. If this is true, then further introgression from the Middle American genepool or from other species may offer opportunities for continued yield improvement and local adaptation in this genepool. Alternatively, Andean entries also require distinct management strategies and more inputs to maximize their yields; many CDBN </w:t>
      </w:r>
      <w:r>
        <w:rPr>
          <w:rFonts w:ascii="Garamond" w:eastAsia="Garamond" w:hAnsi="Garamond" w:cs="Garamond"/>
          <w:color w:val="000000"/>
        </w:rPr>
        <w:lastRenderedPageBreak/>
        <w:t>locations may have managed for Middle American entries rather than Andean entries, which would limit our ability to detect an HFA in Andean material.</w:t>
      </w:r>
    </w:p>
    <w:p w14:paraId="1ACC4C98"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ascii="Garamond" w:eastAsia="Garamond" w:hAnsi="Garamond" w:cs="Garamond"/>
          <w:i/>
          <w:color w:val="000000"/>
        </w:rPr>
        <w:t xml:space="preserve">Ur-3 </w:t>
      </w:r>
      <w:r>
        <w:rPr>
          <w:rFonts w:ascii="Garamond" w:eastAsia="Garamond" w:hAnsi="Garamond" w:cs="Garamond"/>
          <w:color w:val="000000"/>
        </w:rPr>
        <w:t>into the Durango race from a Mesoamerican source,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w:t>
      </w:r>
    </w:p>
    <w:p w14:paraId="2AA316C5"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have this architecture, as CDBN breeders had adopted upright indeterminate architecture for newer CDBN entries in the Mesoamerican race (Kelly 2001; Soltani et al 2016). This adoption highlights the complexity of defining fitness in </w:t>
      </w:r>
      <w:r>
        <w:rPr>
          <w:rFonts w:ascii="Garamond" w:eastAsia="Garamond" w:hAnsi="Garamond" w:cs="Garamond"/>
          <w:color w:val="000000"/>
        </w:rPr>
        <w:lastRenderedPageBreak/>
        <w:t>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time period; we speculate that loss of variation linked to these alleles could have caused this temporary drop in heritability of yield. These major changes to entries in the Mesoamerican race may also have caused the negative trend in HFA magnitude present in Mesoamerican entries, as locally adaptive alleles may have been lost in genomic regions adjacent to architecture, height, and lodging genes. In general, the introgression of major resistance or architecture alleles into populations is equivalent to an artificially induced selective sweep. When this occurs, we expect to see considerable linkage drag and the loss of locally adapted genetic variants. This signal was observed in the CDBN, where following introgression, many years were required to regain local adaptation (HFA) after using a common parent to introduce novel, important traits.</w:t>
      </w:r>
    </w:p>
    <w:p w14:paraId="4DAD5C35" w14:textId="77777777" w:rsidR="00AF7B85" w:rsidRDefault="000E71B2">
      <w:pPr>
        <w:pStyle w:val="Heading2"/>
        <w:numPr>
          <w:ilvl w:val="1"/>
          <w:numId w:val="1"/>
        </w:numPr>
        <w:tabs>
          <w:tab w:val="left" w:pos="0"/>
        </w:tabs>
      </w:pPr>
      <w:r>
        <w:t>4.2 HFA across species: comparing apples and oranges</w:t>
      </w:r>
    </w:p>
    <w:p w14:paraId="0EB73287" w14:textId="77777777"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equivalent to 22 and 34 years of annual breeding gains for Mesoamerican and </w:t>
      </w:r>
      <w:r>
        <w:rPr>
          <w:rFonts w:ascii="Garamond" w:eastAsia="Garamond" w:hAnsi="Garamond" w:cs="Garamond"/>
          <w:color w:val="000000"/>
        </w:rPr>
        <w:lastRenderedPageBreak/>
        <w:t>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sub-races (market classes) (Vandermark et al, 2014); this may have enhanced regional adaptation in common bean. Yet at the same time, several of these bean programs also employ shuttle breeding, which commonly leads to the development of more broadly adapted germplasm (Ortiz et al, 2007). The stable or decreasing HFA in Nueva Granada and Mesoamerican CDBN entries suggests that the presence of regional adaptation is weakening, in line with CDBN goals. Irrespective of the underlying cause of the size difference in HFA between dry bean and maize, in both species and breeding systems (i.e. self-pollinated dicot, hybrid monocot), local adaptation is both valuable to future breeding efforts and decreasing due to improvement efforts.</w:t>
      </w:r>
    </w:p>
    <w:p w14:paraId="251A0D48" w14:textId="77777777" w:rsidR="00AF7B85" w:rsidRDefault="000E71B2">
      <w:pPr>
        <w:pStyle w:val="Heading1"/>
        <w:numPr>
          <w:ilvl w:val="0"/>
          <w:numId w:val="1"/>
        </w:numPr>
        <w:ind w:left="360"/>
      </w:pPr>
      <w:bookmarkStart w:id="9" w:name="_17dp8vu"/>
      <w:bookmarkEnd w:id="9"/>
      <w:r>
        <w:t>CONCLUSION</w:t>
      </w:r>
    </w:p>
    <w:p w14:paraId="737C4B62"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genepools from both domestication events over the 35 years of common bean improvement represented by the CDBN but was decreasing or absent in two of three genepools. Surprisingly, we found that yield heritability increased over time in races from both domestication events, indicating that genetic diversity in races of both genepools may have increased, perhaps due to introgression from the other genepool or from other species. The presence of yield variation attributable to local adaptation underscores the possibility of selecting at particular CDBN locations for alleles that confer adaptation to those environments. Resilient food systems of the future will take advantage of all potential avenues of </w:t>
      </w:r>
      <w:r>
        <w:rPr>
          <w:rFonts w:ascii="Garamond" w:eastAsia="Garamond" w:hAnsi="Garamond" w:cs="Garamond"/>
          <w:color w:val="000000"/>
        </w:rPr>
        <w:lastRenderedPageBreak/>
        <w:t>improvement, including local adaptation, to sustainably produce food adapted to novel and changing production environments.</w:t>
      </w:r>
    </w:p>
    <w:p w14:paraId="0264F2B4" w14:textId="77777777" w:rsidR="00AF7B85" w:rsidRDefault="000E71B2">
      <w:pPr>
        <w:pStyle w:val="Heading1"/>
        <w:numPr>
          <w:ilvl w:val="0"/>
          <w:numId w:val="1"/>
        </w:numPr>
        <w:ind w:left="360"/>
      </w:pPr>
      <w:bookmarkStart w:id="10" w:name="_3rdcrjn"/>
      <w:bookmarkEnd w:id="10"/>
      <w:r>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77777777" w:rsidR="00AF7B85" w:rsidRDefault="000E71B2">
      <w:pPr>
        <w:pStyle w:val="Heading1"/>
        <w:numPr>
          <w:ilvl w:val="0"/>
          <w:numId w:val="1"/>
        </w:numPr>
        <w:ind w:left="360"/>
      </w:pPr>
      <w:r>
        <w:t>DATA AVAILABILITY</w:t>
      </w:r>
    </w:p>
    <w:p w14:paraId="5247A123"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hyperlink r:id="rId11" w:history="1">
        <w:r>
          <w:rPr>
            <w:rFonts w:ascii="Garamond" w:eastAsia="Garamond" w:hAnsi="Garamond" w:cs="Garamond"/>
            <w:color w:val="0000FF"/>
            <w:u w:val="single"/>
          </w:rPr>
          <w:t>https://github.com/alice-MacQueen/cdbn-home-away</w:t>
        </w:r>
      </w:hyperlink>
      <w:r>
        <w:rPr>
          <w:rFonts w:ascii="Garamond" w:eastAsia="Garamond" w:hAnsi="Garamond" w:cs="Garamond"/>
          <w:color w:val="000000"/>
        </w:rPr>
        <w:t>.</w:t>
      </w:r>
    </w:p>
    <w:p w14:paraId="20FD8E70" w14:textId="77777777" w:rsidR="00AF7B85" w:rsidRDefault="000E71B2">
      <w:pPr>
        <w:pStyle w:val="Heading1"/>
        <w:numPr>
          <w:ilvl w:val="0"/>
          <w:numId w:val="1"/>
        </w:numPr>
        <w:ind w:left="360"/>
      </w:pPr>
      <w:r>
        <w:t>AUTHOR CONTRIBUTIONS</w:t>
      </w:r>
    </w:p>
    <w:p w14:paraId="3A4E268B" w14:textId="77777777" w:rsidR="00AF7B85" w:rsidRDefault="000E71B2">
      <w:pPr>
        <w:pStyle w:val="Standard"/>
        <w:widowControl/>
        <w:spacing w:after="240" w:line="480" w:lineRule="auto"/>
        <w:ind w:firstLine="360"/>
      </w:pPr>
      <w:bookmarkStart w:id="11" w:name="_26in1rg"/>
      <w:bookmarkEnd w:id="11"/>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77777777" w:rsidR="00AF7B85" w:rsidRDefault="000E71B2">
      <w:pPr>
        <w:pStyle w:val="Heading1"/>
        <w:numPr>
          <w:ilvl w:val="0"/>
          <w:numId w:val="1"/>
        </w:numPr>
        <w:ind w:left="360"/>
      </w:pPr>
      <w:r>
        <w:t>REFERENCES</w:t>
      </w:r>
    </w:p>
    <w:p w14:paraId="4AB0541C" w14:textId="77777777" w:rsidR="00AF7B85" w:rsidRDefault="000E71B2">
      <w:pPr>
        <w:pStyle w:val="Standard"/>
        <w:keepLines/>
        <w:widowControl/>
        <w:numPr>
          <w:ilvl w:val="0"/>
          <w:numId w:val="5"/>
        </w:numPr>
        <w:spacing w:after="240" w:line="240" w:lineRule="auto"/>
        <w:ind w:left="360"/>
      </w:pPr>
      <w:r>
        <w:rPr>
          <w:rFonts w:ascii="Garamond" w:eastAsia="Garamond" w:hAnsi="Garamond" w:cs="Garamond"/>
          <w:color w:val="000000"/>
          <w:shd w:val="clear" w:color="auto" w:fill="FFFFFF"/>
        </w:rPr>
        <w:t>Aphalo, P. J. (2018). Ggpmisc: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Maechler, M., Bolker,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Bernardo R (2020) Breeding for quantitative traits in plants, 3rd edn. Stemma Press, Woodbury, Minnesota</w:t>
      </w:r>
    </w:p>
    <w:p w14:paraId="7A131882"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Bellucci, Elisa, Elena Bitocchi, Alberto Ferrarini, Andrea Benazzo, Eleonora Biagetti, Sebastian Klie, Andrea Minio, et al. 2014. Decreased Nucleotide and Expression Diversity and Modified Coexpression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Bitocchi, Elena, Elisa Bellucci, Alessandro Giardini, Domenico Rau, Monica Rodriguez, Eleonora Biagetti, Rodolfo Santilocchi, et al. 2013. Molecular Analysis of the Parallel Domestication of the Common Bean (Phaseolus Vulgaris) in Mesoamerica and the Andes. </w:t>
      </w:r>
      <w:r>
        <w:rPr>
          <w:rFonts w:ascii="Garamond" w:eastAsia="Garamond" w:hAnsi="Garamond" w:cs="Garamond"/>
          <w:i/>
          <w:color w:val="000000"/>
          <w:shd w:val="clear" w:color="auto" w:fill="FFFFFF"/>
        </w:rPr>
        <w:t>New Phytologist</w:t>
      </w:r>
      <w:r>
        <w:rPr>
          <w:rFonts w:ascii="Garamond" w:eastAsia="Garamond" w:hAnsi="Garamond" w:cs="Garamond"/>
          <w:color w:val="000000"/>
          <w:shd w:val="clear" w:color="auto" w:fill="FFFFFF"/>
        </w:rPr>
        <w:t xml:space="preserve"> 197 (1): 300–313.</w:t>
      </w:r>
    </w:p>
    <w:p w14:paraId="1E529DC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Bitocchi, Elena, Laura Nanni, Elisa Bellucci, Monica Rossi, Alessandro Giardini, Pierluigi Spagnoletti Zeuli, Giuseppina Logozzo, et al. 2012. Mesoamerican Origin of the Common Bean (Phaseolus Vulgaris L.) Is Revealed by Sequence Data. </w:t>
      </w:r>
      <w:r>
        <w:rPr>
          <w:rFonts w:ascii="Garamond" w:eastAsia="Garamond" w:hAnsi="Garamond" w:cs="Garamond"/>
          <w:i/>
          <w:color w:val="000000"/>
          <w:shd w:val="clear" w:color="auto" w:fill="FFFFFF"/>
        </w:rPr>
        <w:t>Proceedings of the National Academy of Sciences</w:t>
      </w:r>
      <w:r>
        <w:rPr>
          <w:rFonts w:ascii="Garamond" w:eastAsia="Garamond" w:hAnsi="Garamond" w:cs="Garamond"/>
          <w:color w:val="000000"/>
          <w:shd w:val="clear" w:color="auto" w:fill="FFFFFF"/>
        </w:rPr>
        <w:t xml:space="preserve"> 109 (14): E788–96. https://doi.org/10.1073/pnas.1108973109.</w:t>
      </w:r>
    </w:p>
    <w:p w14:paraId="627BC4A4"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Bivand, R. S., Pebesma, E. J., Gomez-Rubio, V., &amp; Pebesma, E. J. 2013. Applied spatial data analysis with R (Vol. 2). New York: Spring</w:t>
      </w:r>
    </w:p>
    <w:p w14:paraId="4133B04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 xml:space="preserve">Botero, C. A., Weissing, F. J., Wright, J., &amp; Rubenstein, D. R. 2015. Evolutionary tipping points in the capacity to adapt to environmental change. </w:t>
      </w:r>
      <w:r>
        <w:rPr>
          <w:rFonts w:ascii="Garamond" w:eastAsia="Garamond" w:hAnsi="Garamond" w:cs="Garamond"/>
          <w:i/>
          <w:color w:val="000000"/>
        </w:rPr>
        <w:t>Proceedings of the National Academy of Sciences</w:t>
      </w:r>
      <w:r>
        <w:rPr>
          <w:rFonts w:ascii="Garamond" w:eastAsia="Garamond" w:hAnsi="Garamond" w:cs="Garamond"/>
          <w:color w:val="000000"/>
        </w:rPr>
        <w:t>, 112(1), 184-189.</w:t>
      </w:r>
    </w:p>
    <w:p w14:paraId="76FD7DE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Eckert, C. G., Kalisz, S., Geber, M. A., Sargent, R., Elle, E., Cheptou, P. O., ... &amp; Winn, A. A. (2010). Plant mating systems in a changing world</w:t>
      </w:r>
      <w:r>
        <w:rPr>
          <w:rFonts w:ascii="Garamond" w:eastAsia="Garamond" w:hAnsi="Garamond" w:cs="Garamond"/>
          <w:i/>
          <w:color w:val="000000"/>
          <w:shd w:val="clear" w:color="auto" w:fill="FFFFFF"/>
        </w:rPr>
        <w:t>. Trends in Ecology &amp; Evolution</w:t>
      </w:r>
      <w:r>
        <w:rPr>
          <w:rFonts w:ascii="Garamond" w:eastAsia="Garamond" w:hAnsi="Garamond" w:cs="Garamond"/>
          <w:color w:val="000000"/>
          <w:shd w:val="clear" w:color="auto" w:fill="FFFFFF"/>
        </w:rPr>
        <w:t>, 25(1), 35-43.</w:t>
      </w:r>
    </w:p>
    <w:p w14:paraId="75D52F3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Ewing, P. M., Runck, B. C., Kono, T. Y., Kantar, M. B. (2019). The home field advantage of modern plant breeding. </w:t>
      </w:r>
      <w:r>
        <w:rPr>
          <w:rFonts w:ascii="Garamond" w:eastAsia="Garamond" w:hAnsi="Garamond" w:cs="Garamond"/>
          <w:i/>
          <w:color w:val="000000"/>
          <w:shd w:val="clear" w:color="auto" w:fill="FFFFFF"/>
        </w:rPr>
        <w:t>PloS one</w:t>
      </w:r>
      <w:r>
        <w:rPr>
          <w:rFonts w:ascii="Garamond" w:eastAsia="Garamond" w:hAnsi="Garamond" w:cs="Garamond"/>
          <w:color w:val="000000"/>
          <w:shd w:val="clear" w:color="auto" w:fill="FFFFFF"/>
        </w:rPr>
        <w:t>, 14(12), e0227079.</w:t>
      </w:r>
    </w:p>
    <w:p w14:paraId="0E8202E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hyperlink r:id="rId12" w:history="1">
        <w:r>
          <w:rPr>
            <w:rFonts w:ascii="Garamond" w:eastAsia="Garamond" w:hAnsi="Garamond" w:cs="Garamond"/>
            <w:color w:val="000000"/>
            <w:shd w:val="clear" w:color="auto" w:fill="FFFFFF"/>
          </w:rPr>
          <w:t xml:space="preserve"> </w:t>
        </w:r>
      </w:hyperlink>
      <w:hyperlink r:id="rId13" w:history="1">
        <w:r>
          <w:rPr>
            <w:rFonts w:ascii="Garamond" w:eastAsia="Garamond" w:hAnsi="Garamond" w:cs="Garamond"/>
            <w:color w:val="000000"/>
            <w:u w:val="single"/>
            <w:shd w:val="clear" w:color="auto" w:fill="FFFFFF"/>
          </w:rPr>
          <w:t>http://faostat3.fao.org/</w:t>
        </w:r>
      </w:hyperlink>
    </w:p>
    <w:p w14:paraId="2CB6971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Farid, M., Earl, H. J., Pauls, K. P., &amp; Navabi, A. (2017). Response to selection for improved nitrogen fixation in common bean (Phaseolus vulgaris L.). Euphytica, 213(4), 99.</w:t>
      </w:r>
    </w:p>
    <w:p w14:paraId="73CE024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Feldman, M. W., and R. C. Lewontin.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Finlay KW, Wilkinson GN. The analysis of adaptation in a plant-breeding programme. Australian journal of agricultural research. 1963;14(6):742–54.</w:t>
      </w:r>
    </w:p>
    <w:p w14:paraId="1289569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Pr>
          <w:rFonts w:ascii="Garamond" w:eastAsia="Garamond" w:hAnsi="Garamond" w:cs="Garamond"/>
          <w:color w:val="000000"/>
          <w:shd w:val="clear" w:color="auto" w:fill="FFFFFF"/>
        </w:rPr>
        <w:t>, 9-18.</w:t>
      </w:r>
    </w:p>
    <w:p w14:paraId="39CC46D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Fox, John, &amp; Weisberg, Sanford. (2019). An {R} Companion to Applied Regression, Third Edition. Thousand Oaks CA: Sage. URL: </w:t>
      </w:r>
      <w:hyperlink r:id="rId14" w:history="1">
        <w:r>
          <w:rPr>
            <w:rFonts w:ascii="Garamond" w:eastAsia="Garamond" w:hAnsi="Garamond" w:cs="Garamond"/>
            <w:color w:val="0000FF"/>
            <w:u w:val="single"/>
            <w:shd w:val="clear" w:color="auto" w:fill="FFFFFF"/>
          </w:rPr>
          <w:t>https://socialsciences.mcmaster.ca/jfox/Books/Companion/</w:t>
        </w:r>
      </w:hyperlink>
    </w:p>
    <w:p w14:paraId="6CC6410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Furrer, R., Nychka, D., Sain, S., &amp; Nychka, M. D. (2009). Package ‘fields’. R Foundation for Statistical Computing, Vienna, Austria. http://www. idg. pl/mirrors/CRAN/web/packages/fields/fields. pdf (last accessed 22 December 2012).</w:t>
      </w:r>
    </w:p>
    <w:p w14:paraId="0CB8A53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Gepts, P., T. C. Osborn, K. Rashka, and F. A. Bliss. 1986. Phaseolin-Protein Variability in Wild Forms and Landraces of the Common Bean (Phaseolus Vulgaris): Evidence for Multiple Centers of Domestication. </w:t>
      </w:r>
      <w:r>
        <w:rPr>
          <w:rFonts w:ascii="Garamond" w:eastAsia="Garamond" w:hAnsi="Garamond" w:cs="Garamond"/>
          <w:i/>
          <w:color w:val="000000"/>
          <w:shd w:val="clear" w:color="auto" w:fill="FFFFFF"/>
        </w:rPr>
        <w:t>Economic Botany</w:t>
      </w:r>
      <w:r>
        <w:rPr>
          <w:rFonts w:ascii="Garamond" w:eastAsia="Garamond" w:hAnsi="Garamond" w:cs="Garamond"/>
          <w:color w:val="000000"/>
          <w:shd w:val="clear" w:color="auto" w:fill="FFFFFF"/>
        </w:rPr>
        <w:t xml:space="preserve"> 40 (4): 451–68. https://doi.org/10.1007/BF02859659.</w:t>
      </w:r>
    </w:p>
    <w:p w14:paraId="22A737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041760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Ary A., and Miriam J. Hercus. 2000. Environmental Stress as an Evolutionary Force. </w:t>
      </w:r>
      <w:r>
        <w:rPr>
          <w:rFonts w:ascii="Garamond" w:eastAsia="Garamond" w:hAnsi="Garamond" w:cs="Garamond"/>
          <w:i/>
          <w:color w:val="000000"/>
          <w:shd w:val="clear" w:color="auto" w:fill="FFFFFF"/>
        </w:rPr>
        <w:t>BioScience</w:t>
      </w:r>
      <w:r>
        <w:rPr>
          <w:rFonts w:ascii="Garamond" w:eastAsia="Garamond" w:hAnsi="Garamond" w:cs="Garamond"/>
          <w:color w:val="000000"/>
          <w:shd w:val="clear" w:color="auto" w:fill="FFFFFF"/>
        </w:rPr>
        <w:t xml:space="preserve"> 50 (3): 217–26. https://doi.org/10.1641/0006-3568(2000)050[0217:ESAAEF]2.3.CO;2.</w:t>
      </w:r>
    </w:p>
    <w:p w14:paraId="0FE74719"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Hoffmann, Ary A., and Juha Merilä. 1999. Heritable Variation and Evolution under Favourable and Unfavourable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Hurtado-Gonzales, O. P., Valentini, G., Gilio, T. A., Martins, A. M., Song, Q., &amp; Pastor-Corrales, M. A. (2017). Fine mapping of Ur-3, a historically important rust resistance locus in common bean. G3: Genes, Genomes, Genetics, 7(2), 557-569.</w:t>
      </w:r>
    </w:p>
    <w:p w14:paraId="150F53E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Kaplan, L. 1965. Archeology and domestication in American Phaseolus (beans). Econ. Bot 19(4):358-368. doi:10.1007/BF02904806</w:t>
      </w:r>
    </w:p>
    <w:p w14:paraId="081178A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Kelly, J. D., 2001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Kraft, K. H., Brown, C. H., Nabhan, G. P., Luedeling, E., Ruiz, J. D. J. L., d’Eeckenbrugge, G. C., et al.. (2014). Multiple lines of evidence for the origin of domesticated chili pepper, Capsicum annuum, in Mexico. Proceedings of the National Academy of Sciences, 111(17), 6165-6170.</w:t>
      </w:r>
    </w:p>
    <w:p w14:paraId="6AD0E85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Levins R. 1962. Theory of fitness in a heterogeneous environment. I. The fitness set and adaptive function. The American Naturalist 96 (891): 361–73.</w:t>
      </w:r>
    </w:p>
    <w:p w14:paraId="6B6E398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Lin, Tao, Guangtao Zhu, Junhong Zhang, Xiangyang Xu, Qinghui Yu, Zheng Zheng, Zhonghua Zhang, et al. 2014. Genomic Analyses Provide Insights into the History of Tomato Breeding. Nature Genetics 46 (11): 1220–26. https://doi.org/10.1038/ng.3117.</w:t>
      </w:r>
    </w:p>
    <w:p w14:paraId="7EA1ED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MacQueen, A. H., White, J. W., Lee, R., Osorno, J. M., Schmutz, J., Miklas, P. N., et al.  (2020). Genetic Associations in Four Decades of Multienvironment Trials Reveal Agronomic Trait Evolution in Common Bean. </w:t>
      </w:r>
      <w:r>
        <w:rPr>
          <w:rFonts w:ascii="Garamond" w:eastAsia="Garamond" w:hAnsi="Garamond" w:cs="Garamond"/>
          <w:i/>
          <w:color w:val="000000"/>
          <w:shd w:val="clear" w:color="auto" w:fill="FFFFFF"/>
        </w:rPr>
        <w:t>Genetics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215</w:t>
      </w:r>
      <w:r>
        <w:rPr>
          <w:rFonts w:ascii="Garamond" w:eastAsia="Garamond" w:hAnsi="Garamond" w:cs="Garamond"/>
          <w:color w:val="000000"/>
          <w:shd w:val="clear" w:color="auto" w:fill="FFFFFF"/>
        </w:rPr>
        <w:t>(1), 267-284.</w:t>
      </w:r>
    </w:p>
    <w:p w14:paraId="252E76C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Mamidi, S., M. Rossi, D. Annam, S. Moghaddam, R. Lee et al., 2011 Investigation of the domestication of common bean (Phaseolus vulgaris) using multilocus sequence data. Funct. Plant Biol. 38: 953. </w:t>
      </w:r>
      <w:hyperlink r:id="rId15" w:history="1">
        <w:r>
          <w:rPr>
            <w:rFonts w:ascii="Garamond" w:eastAsia="Garamond" w:hAnsi="Garamond" w:cs="Garamond"/>
            <w:color w:val="000000"/>
            <w:u w:val="single"/>
            <w:shd w:val="clear" w:color="auto" w:fill="FFFFFF"/>
          </w:rPr>
          <w:t>https://doi.org/10.1071/FP11124</w:t>
        </w:r>
      </w:hyperlink>
    </w:p>
    <w:p w14:paraId="028F54C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Miller, Allison J., and Briana L. Gross. 2011. From Forest to Field: Perennial Fruit Crop Domestication. American Journal of Botany 98 (9): 1389–1414.</w:t>
      </w:r>
    </w:p>
    <w:p w14:paraId="4FB4681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Moyers, Brook T, Peter L Morrell, and John K McKay. 2018. Genetic Costs of Domestication and Improvement. Journal of Heredity 109 (2): 103–16. https://doi.org/10.1093/jhered/esx069.</w:t>
      </w:r>
    </w:p>
    <w:p w14:paraId="570A996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Myers, J., 1988 The Cooperative Dry Bean Nursery. Reports of the Bean Improvement Cooperative: 209–210.</w:t>
      </w:r>
    </w:p>
    <w:p w14:paraId="4CAC84E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Oksanen, J., Blanchet, F. G., Kindt, R., Legendre, P., Minchin, P. R., O’hara, R. B., et al.  (2013). Community ecology package. R package version, 2(0).</w:t>
      </w:r>
    </w:p>
    <w:p w14:paraId="11733C0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rPr>
        <w:t>Ortiz, R., Trethowan, R., Ferrara, G. O., Iwanaga, M., Dodds, J. H., Crouch, J. H., et al. (2007). High yield potential, shuttle breeding, genetic diversity, and a new international wheat improvement strategy. Euphytica, 157(3), 365-384.</w:t>
      </w:r>
    </w:p>
    <w:p w14:paraId="0CD2B58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Papa, R., &amp; Gepts,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Papa, R., Bellucci, E., Rossi, M., Leonardi, S., Rau, D., Gepts, P., et al. (2007). Tagging the signatures of domestication in common bean (Phaseolus vulgaris) by means of pooled DNA samples. Annals of Botany, 100(5), 1039-1051.</w:t>
      </w:r>
    </w:p>
    <w:p w14:paraId="0DA0553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Parker, T. A., Berny Mier y Teran, J. C., Palkovic, A., Jernstedt, J.,  Gepts, P. (2020). Pod indehiscence is a domestication and aridity resilience trait in common bean. New Phytologist, 225(1), 558-570.</w:t>
      </w:r>
    </w:p>
    <w:p w14:paraId="5AF27007"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Achicanoy,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Resende, R. T., Piepho, H. P., Rosa, G. J., Silva-Junior, O. B., e Silva, F. F., de Resende, M. D. V., &amp; Grattapaglia, D. (2020). Enviromics in breeding: applications and perspectives on envirotypic-assisted selection. Theoretical and Applied Genetics, 1-18.</w:t>
      </w:r>
    </w:p>
    <w:p w14:paraId="13A79A4E"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Rodriguez M, Rau D, Angioi SA, Bellucci E, Bitocchi E, Nanni L, Knupffer H, Negri V, Papa R, Attene G. 2013. European Phaseolus coccineus L. Landraces: population structure and adaptation, as revealed by cpSSRs and phenotypic analyses. PLoS ONE 8: e57337.</w:t>
      </w:r>
    </w:p>
    <w:p w14:paraId="1FD76C4B"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Roger S. Bivand, Edzer Pebesma, Virgilio Gomez-Rubio, 2013. Applied spatial data analysis with R, Second edition. Springer, NY.</w:t>
      </w:r>
    </w:p>
    <w:p w14:paraId="2662377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Sujan Mamidi, G. Albert Wu, Steven B. Cannon, Jane Grimwood,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Gepts, P., &amp; Debouck, D. (1991). Races of common bean (Phaseolus vulgaris, Fabaceae). Economic Botany, 45, 379–396. </w:t>
      </w:r>
      <w:hyperlink r:id="rId16" w:history="1">
        <w:r>
          <w:rPr>
            <w:rFonts w:ascii="Garamond" w:eastAsia="Garamond" w:hAnsi="Garamond" w:cs="Garamond"/>
            <w:color w:val="000000"/>
            <w:u w:val="single"/>
            <w:shd w:val="clear" w:color="auto" w:fill="FFFFFF"/>
          </w:rPr>
          <w:t>https://doi.org/10.1007/BF02887079</w:t>
        </w:r>
      </w:hyperlink>
    </w:p>
    <w:p w14:paraId="29247036"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7"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Soltani, A., M. Bello, E. Mndolwa,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Trucchi E, Benazzo A, Lari M, Iob A, Vai S, Nanni L, Belucci E, Bitocchi E, Raffini F, Xu C et al. 2021. Ancient genomes reveal early Andean farmers selected common beans while preserving diversity. Nature Plants 7: 123–128.</w:t>
      </w:r>
    </w:p>
    <w:p w14:paraId="18740C7A"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Vandemark, G. J., Brick, M. A., Osorno, J. M., Kelly, J. D., &amp; Urrea, C. A. (2014). Edible grain legumes. Yield gains in major US field crops, 33, 87-123.</w:t>
      </w:r>
    </w:p>
    <w:p w14:paraId="370F6775"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Wittkop, B., Lichthardt, C., Nagler,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77777777" w:rsidR="00AF7B85" w:rsidRDefault="000E71B2">
      <w:pPr>
        <w:pStyle w:val="Standard"/>
        <w:keepLines/>
        <w:widowControl/>
        <w:numPr>
          <w:ilvl w:val="0"/>
          <w:numId w:val="2"/>
        </w:numPr>
        <w:spacing w:after="240" w:line="240" w:lineRule="auto"/>
        <w:ind w:left="360"/>
      </w:pPr>
      <w:bookmarkStart w:id="12" w:name="_lnxbz9"/>
      <w:bookmarkEnd w:id="12"/>
      <w:r>
        <w:rPr>
          <w:rFonts w:ascii="Garamond" w:eastAsia="Garamond" w:hAnsi="Garamond" w:cs="Garamond"/>
          <w:color w:val="000000"/>
          <w:shd w:val="clear" w:color="auto" w:fill="FFFFFF"/>
        </w:rPr>
        <w:t xml:space="preserve">Wilson, A. J., J. M. Pemberton, J. G. Pilkington, D. W. Coltman, D. V. Mifsud, T. H. Clutton-Brock, and L. E. B. Kruuk. 2006. Environmental Coupling of Selection and Heritability Limits Evolution. PLOS Biology 4 (7): e216. </w:t>
      </w:r>
      <w:hyperlink r:id="rId18" w:history="1">
        <w:r>
          <w:rPr>
            <w:rFonts w:ascii="Garamond" w:eastAsia="Garamond" w:hAnsi="Garamond" w:cs="Garamond"/>
            <w:color w:val="0000FF"/>
            <w:u w:val="single"/>
            <w:shd w:val="clear" w:color="auto" w:fill="FFFFFF"/>
          </w:rPr>
          <w:t>https://doi.org/10.1371/journal.pbio.0040216</w:t>
        </w:r>
      </w:hyperlink>
      <w:r>
        <w:rPr>
          <w:rFonts w:ascii="Garamond" w:eastAsia="Garamond" w:hAnsi="Garamond" w:cs="Garamond"/>
          <w:color w:val="000000"/>
          <w:shd w:val="clear" w:color="auto" w:fill="FFFFFF"/>
        </w:rPr>
        <w:t>.</w:t>
      </w:r>
    </w:p>
    <w:p w14:paraId="0482CCF7" w14:textId="77777777" w:rsidR="00AF7B85" w:rsidRDefault="000E71B2">
      <w:pPr>
        <w:pStyle w:val="Heading1"/>
        <w:numPr>
          <w:ilvl w:val="0"/>
          <w:numId w:val="6"/>
        </w:numPr>
        <w:ind w:left="360"/>
      </w:pPr>
      <w:bookmarkStart w:id="13" w:name="_35nkun2"/>
      <w:bookmarkEnd w:id="13"/>
      <w:r>
        <w:lastRenderedPageBreak/>
        <w:t>SUPPLEMENT</w:t>
      </w:r>
    </w:p>
    <w:p w14:paraId="28FDE45E" w14:textId="77777777" w:rsidR="00AF7B85" w:rsidRDefault="000E71B2">
      <w:pPr>
        <w:pStyle w:val="Standard"/>
        <w:keepNext/>
        <w:keepLines/>
        <w:widowControl/>
        <w:spacing w:after="0" w:line="240" w:lineRule="auto"/>
        <w:jc w:val="center"/>
      </w:pPr>
      <w:bookmarkStart w:id="14" w:name="_1ksv4uv"/>
      <w:bookmarkEnd w:id="14"/>
      <w:r>
        <w:rPr>
          <w:noProof/>
        </w:rPr>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254E52EB" w:rsidR="000213FE" w:rsidRDefault="000E71B2" w:rsidP="000213FE">
      <w:pPr>
        <w:pStyle w:val="Standard"/>
        <w:keepNext/>
        <w:keepLines/>
        <w:widowControl/>
        <w:spacing w:after="240" w:line="240" w:lineRule="auto"/>
      </w:pPr>
      <w:bookmarkStart w:id="15" w:name="_44sinio"/>
      <w:bookmarkEnd w:id="15"/>
      <w:r>
        <w:rPr>
          <w:rFonts w:ascii="Garamond" w:eastAsia="Garamond" w:hAnsi="Garamond" w:cs="Garamond"/>
          <w:b/>
          <w:color w:val="000000"/>
        </w:rPr>
        <w:t>Figure S1</w:t>
      </w:r>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16" w:name="_2jxsxqh"/>
      <w:bookmarkEnd w:id="16"/>
      <w:r w:rsidR="000213FE">
        <w:br w:type="page"/>
      </w:r>
    </w:p>
    <w:p w14:paraId="2C953B73" w14:textId="78469CD8" w:rsidR="00AF7B85" w:rsidRDefault="000E71B2">
      <w:pPr>
        <w:pStyle w:val="Standard"/>
        <w:keepNext/>
        <w:keepLines/>
        <w:widowControl/>
        <w:spacing w:after="0" w:line="240" w:lineRule="auto"/>
        <w:jc w:val="center"/>
      </w:pPr>
      <w:r>
        <w:rPr>
          <w:noProof/>
        </w:rPr>
        <w:lastRenderedPageBreak/>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77777777" w:rsidR="000213FE" w:rsidRDefault="000E71B2" w:rsidP="000213FE">
      <w:pPr>
        <w:pStyle w:val="Standard"/>
        <w:keepNext/>
        <w:keepLines/>
        <w:widowControl/>
        <w:spacing w:after="240" w:line="240" w:lineRule="auto"/>
        <w:rPr>
          <w:rFonts w:ascii="Garamond" w:eastAsia="Garamond" w:hAnsi="Garamond" w:cs="Garamond"/>
          <w:color w:val="000000"/>
        </w:rPr>
      </w:pPr>
      <w:bookmarkStart w:id="17" w:name="_z337ya"/>
      <w:bookmarkEnd w:id="17"/>
      <w:r>
        <w:rPr>
          <w:rFonts w:ascii="Garamond" w:eastAsia="Garamond" w:hAnsi="Garamond" w:cs="Garamond"/>
          <w:b/>
          <w:color w:val="000000"/>
        </w:rPr>
        <w:t xml:space="preserve">Figure S2. </w:t>
      </w:r>
      <w:r>
        <w:rPr>
          <w:rFonts w:ascii="Garamond" w:eastAsia="Garamond" w:hAnsi="Garamond" w:cs="Garamond"/>
          <w:color w:val="000000"/>
        </w:rPr>
        <w:t>Ordinary kriging of yield heritability for each 5-year sliding window (1981-2013) centered on the third year of the window.</w:t>
      </w:r>
    </w:p>
    <w:p w14:paraId="182575A7" w14:textId="77777777" w:rsidR="000213FE" w:rsidRDefault="000213FE" w:rsidP="000213FE">
      <w:pPr>
        <w:pStyle w:val="Standard"/>
        <w:keepNext/>
        <w:keepLines/>
        <w:widowControl/>
        <w:spacing w:after="240" w:line="240" w:lineRule="auto"/>
        <w:rPr>
          <w:rFonts w:ascii="Garamond" w:eastAsia="Garamond" w:hAnsi="Garamond" w:cs="Garamond"/>
          <w:color w:val="000000"/>
        </w:rPr>
      </w:pPr>
    </w:p>
    <w:p w14:paraId="1E88B778" w14:textId="34CF84C6" w:rsidR="00AF7B85" w:rsidRDefault="000E71B2" w:rsidP="000213FE">
      <w:pPr>
        <w:pStyle w:val="Standard"/>
        <w:keepNext/>
        <w:keepLines/>
        <w:widowControl/>
        <w:spacing w:after="240" w:line="240" w:lineRule="auto"/>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114800" cy="4572000"/>
                    </a:xfrm>
                    <a:prstGeom prst="rect">
                      <a:avLst/>
                    </a:prstGeom>
                    <a:noFill/>
                    <a:ln>
                      <a:noFill/>
                      <a:prstDash/>
                    </a:ln>
                  </pic:spPr>
                </pic:pic>
              </a:graphicData>
            </a:graphic>
          </wp:inline>
        </w:drawing>
      </w:r>
    </w:p>
    <w:p w14:paraId="7DF342A4" w14:textId="77777777" w:rsidR="00AF7B85" w:rsidRDefault="000E71B2">
      <w:pPr>
        <w:pStyle w:val="Standard"/>
        <w:keepNext/>
        <w:keepLines/>
        <w:widowControl/>
        <w:spacing w:after="240" w:line="240" w:lineRule="auto"/>
      </w:pPr>
      <w:bookmarkStart w:id="18" w:name="_3j2qqm3"/>
      <w:bookmarkEnd w:id="18"/>
      <w:r>
        <w:rPr>
          <w:rFonts w:ascii="Garamond" w:eastAsia="Garamond" w:hAnsi="Garamond" w:cs="Garamond"/>
          <w:b/>
          <w:color w:val="000000"/>
        </w:rPr>
        <w:t>Figure S3</w:t>
      </w:r>
      <w:r>
        <w:rPr>
          <w:rFonts w:ascii="Garamond" w:eastAsia="Garamond" w:hAnsi="Garamond" w:cs="Garamond"/>
          <w:color w:val="000000"/>
        </w:rPr>
        <w:t>: a) relationship between standard deviation in heritability at each site, and the number of trials at that site; b) relationship between mean and standard deviation in heritability at each site; c) relationship between mean yield and mean heritability at each site. n.s. – not significant at p &lt; 0.10.</w:t>
      </w:r>
    </w:p>
    <w:p w14:paraId="78509BCA" w14:textId="77777777" w:rsidR="00AF7B85" w:rsidRDefault="000E71B2">
      <w:pPr>
        <w:pStyle w:val="Standard"/>
        <w:keepNext/>
        <w:keepLines/>
        <w:pageBreakBefore/>
        <w:widowControl/>
        <w:spacing w:after="240" w:line="240" w:lineRule="auto"/>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77777777" w:rsidR="00AF7B85" w:rsidRDefault="000E71B2">
      <w:pPr>
        <w:pStyle w:val="Standard"/>
        <w:keepNext/>
        <w:keepLines/>
        <w:widowControl/>
        <w:spacing w:after="240" w:line="240" w:lineRule="auto"/>
      </w:pPr>
      <w:bookmarkStart w:id="19" w:name="_1y810tw"/>
      <w:bookmarkEnd w:id="19"/>
      <w:r>
        <w:rPr>
          <w:rFonts w:ascii="Garamond" w:eastAsia="Garamond" w:hAnsi="Garamond" w:cs="Garamond"/>
          <w:b/>
          <w:color w:val="000000"/>
        </w:rPr>
        <w:t>Figure S4</w:t>
      </w:r>
      <w:r>
        <w:rPr>
          <w:rFonts w:ascii="Garamond" w:eastAsia="Garamond" w:hAnsi="Garamond" w:cs="Garamond"/>
          <w:color w:val="000000"/>
        </w:rPr>
        <w:t>. High heritability and high HFA location combinations by bean race. Abbreviations correspond to CDBN standard abbreviations.</w:t>
      </w: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77777777" w:rsidR="00AF7B85" w:rsidRDefault="000E71B2">
            <w:pPr>
              <w:pStyle w:val="Standard"/>
              <w:widowControl/>
              <w:spacing w:after="0" w:line="240" w:lineRule="auto"/>
            </w:pPr>
            <w:r>
              <w:rPr>
                <w:rFonts w:ascii="Garamond" w:eastAsia="Garamond" w:hAnsi="Garamond" w:cs="Garamond"/>
                <w:b/>
                <w:color w:val="000000"/>
              </w:rPr>
              <w:t>Table S1</w:t>
            </w:r>
          </w:p>
        </w:tc>
      </w:tr>
      <w:tr w:rsidR="00AF7B85" w14:paraId="67611AD7" w14:textId="77777777">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5314D232"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20" w:name="_4i7ojhp"/>
      <w:bookmarkEnd w:id="20"/>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tc>
          <w:tcPr>
            <w:tcW w:w="7289" w:type="dxa"/>
            <w:gridSpan w:val="4"/>
            <w:shd w:val="clear" w:color="auto" w:fill="FFFFFF"/>
            <w:tcMar>
              <w:top w:w="0" w:type="dxa"/>
              <w:left w:w="108" w:type="dxa"/>
              <w:bottom w:w="0" w:type="dxa"/>
              <w:right w:w="108" w:type="dxa"/>
            </w:tcMar>
            <w:vAlign w:val="center"/>
          </w:tcPr>
          <w:p w14:paraId="4AF02B6E" w14:textId="77777777" w:rsidR="00AF7B85" w:rsidRDefault="000E71B2">
            <w:pPr>
              <w:pStyle w:val="Standard"/>
              <w:widowControl/>
              <w:spacing w:after="0" w:line="240" w:lineRule="auto"/>
            </w:pPr>
            <w:r>
              <w:rPr>
                <w:rFonts w:ascii="Garamond" w:eastAsia="Garamond" w:hAnsi="Garamond" w:cs="Garamond"/>
                <w:b/>
                <w:color w:val="000000"/>
              </w:rPr>
              <w:t>Table S2</w:t>
            </w:r>
          </w:p>
        </w:tc>
      </w:tr>
      <w:tr w:rsidR="00AF7B85" w14:paraId="4C33F7DF" w14:textId="77777777">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Pr>
                <w:rFonts w:ascii="Garamond" w:eastAsia="Garamond" w:hAnsi="Garamond" w:cs="Garamond"/>
                <w:color w:val="000000"/>
                <w:sz w:val="55"/>
                <w:szCs w:val="55"/>
                <w:vertAlign w:val="superscript"/>
              </w:rPr>
              <w:t>1</w:t>
            </w:r>
            <w:r>
              <w:rPr>
                <w:rFonts w:ascii="Garamond" w:eastAsia="Garamond" w:hAnsi="Garamond" w:cs="Garamond"/>
                <w:color w:val="000000"/>
              </w:rPr>
              <w:t> of Competing Home Field Advantage Models</w:t>
            </w:r>
          </w:p>
        </w:tc>
      </w:tr>
      <w:tr w:rsidR="00AF7B85" w14:paraId="29392B4A" w14:textId="77777777">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Pr>
                <w:rFonts w:ascii="Garamond" w:eastAsia="Garamond" w:hAnsi="Garamond" w:cs="Garamond"/>
                <w:color w:val="000000"/>
                <w:sz w:val="58"/>
                <w:szCs w:val="58"/>
                <w:vertAlign w:val="superscript"/>
              </w:rPr>
              <w:t>1</w:t>
            </w:r>
            <w:r>
              <w:rPr>
                <w:rFonts w:ascii="Garamond" w:eastAsia="Garamond" w:hAnsi="Garamond" w:cs="Garamond"/>
                <w:color w:val="000000"/>
              </w:rPr>
              <w:t>Akaike Information Criterion</w:t>
            </w:r>
          </w:p>
        </w:tc>
      </w:tr>
    </w:tbl>
    <w:p w14:paraId="57AAAEA4" w14:textId="77777777" w:rsidR="00AF7B85" w:rsidRDefault="00AF7B85">
      <w:pPr>
        <w:pStyle w:val="Standard"/>
        <w:widowControl/>
        <w:spacing w:after="240" w:line="480" w:lineRule="auto"/>
        <w:ind w:firstLine="360"/>
        <w:rPr>
          <w:rFonts w:ascii="Garamond" w:eastAsia="Garamond" w:hAnsi="Garamond" w:cs="Garamond"/>
          <w:color w:val="000000"/>
        </w:rPr>
      </w:pPr>
      <w:bookmarkStart w:id="21" w:name="_2xcytpi"/>
      <w:bookmarkEnd w:id="21"/>
    </w:p>
    <w:p w14:paraId="49FAA823" w14:textId="77777777" w:rsidR="00AF7B85" w:rsidRDefault="00AF7B85">
      <w:pPr>
        <w:pStyle w:val="Standard"/>
        <w:pageBreakBefore/>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tc>
          <w:tcPr>
            <w:tcW w:w="6435" w:type="dxa"/>
            <w:gridSpan w:val="5"/>
            <w:shd w:val="clear" w:color="auto" w:fill="FFFFFF"/>
            <w:tcMar>
              <w:top w:w="0" w:type="dxa"/>
              <w:left w:w="108" w:type="dxa"/>
              <w:bottom w:w="0" w:type="dxa"/>
              <w:right w:w="108" w:type="dxa"/>
            </w:tcMar>
            <w:vAlign w:val="center"/>
          </w:tcPr>
          <w:p w14:paraId="30112966" w14:textId="77777777" w:rsidR="00AF7B85" w:rsidRDefault="000E71B2">
            <w:pPr>
              <w:pStyle w:val="Standard"/>
              <w:widowControl/>
              <w:spacing w:after="0" w:line="240" w:lineRule="auto"/>
            </w:pPr>
            <w:r>
              <w:rPr>
                <w:rFonts w:ascii="Garamond" w:eastAsia="Garamond" w:hAnsi="Garamond" w:cs="Garamond"/>
                <w:b/>
                <w:color w:val="000000"/>
              </w:rPr>
              <w:t>Table S3</w:t>
            </w:r>
          </w:p>
        </w:tc>
      </w:tr>
      <w:tr w:rsidR="00AF7B85" w14:paraId="2A28C64D" w14:textId="77777777">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472D15D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51EF770E" w14:textId="77777777" w:rsidR="00AF7B85" w:rsidRDefault="00AF7B85">
      <w:pPr>
        <w:pStyle w:val="Standard"/>
        <w:widowControl/>
        <w:spacing w:after="240" w:line="480" w:lineRule="auto"/>
      </w:pPr>
    </w:p>
    <w:sectPr w:rsidR="00AF7B85" w:rsidSect="00736C64">
      <w:headerReference w:type="default" r:id="rId23"/>
      <w:footerReference w:type="default" r:id="rId24"/>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A3F550" w14:textId="77777777" w:rsidR="00013F4F" w:rsidRDefault="00013F4F">
      <w:r>
        <w:separator/>
      </w:r>
    </w:p>
  </w:endnote>
  <w:endnote w:type="continuationSeparator" w:id="0">
    <w:p w14:paraId="4B86FFBA" w14:textId="77777777" w:rsidR="00013F4F" w:rsidRDefault="00013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font>
  <w:font w:name="Garamond">
    <w:panose1 w:val="02020404030301010803"/>
    <w:charset w:val="00"/>
    <w:family w:val="roman"/>
    <w:pitch w:val="variable"/>
    <w:sig w:usb0="00000287" w:usb1="00000000" w:usb2="00000000" w:usb3="00000000" w:csb0="0000009F" w:csb1="00000000"/>
  </w:font>
  <w:font w:name="Liberation Sans">
    <w:charset w:val="00"/>
    <w:family w:val="swiss"/>
    <w:pitch w:val="variable"/>
  </w:font>
  <w:font w:name="Linux Libertine G">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2A25E6" w:rsidRDefault="000E71B2">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2B5C9D" w14:textId="77777777" w:rsidR="00013F4F" w:rsidRDefault="00013F4F">
      <w:r>
        <w:rPr>
          <w:color w:val="000000"/>
        </w:rPr>
        <w:separator/>
      </w:r>
    </w:p>
  </w:footnote>
  <w:footnote w:type="continuationSeparator" w:id="0">
    <w:p w14:paraId="183D20DD" w14:textId="77777777" w:rsidR="00013F4F" w:rsidRDefault="00013F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2A25E6" w:rsidRDefault="00013F4F">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1"/>
  </w:num>
  <w:num w:numId="2">
    <w:abstractNumId w:val="0"/>
  </w:num>
  <w:num w:numId="3">
    <w:abstractNumId w:val="2"/>
  </w:num>
  <w:num w:numId="4">
    <w:abstractNumId w:val="1"/>
    <w:lvlOverride w:ilvl="0">
      <w:startOverride w:val="1"/>
    </w:lvlOverride>
  </w:num>
  <w:num w:numId="5">
    <w:abstractNumId w:val="0"/>
    <w:lvlOverride w:ilvl="0">
      <w:startOverride w:val="1"/>
    </w:lvlOverride>
  </w:num>
  <w:num w:numId="6">
    <w:abstractNumId w:val="2"/>
    <w:lvlOverride w:ilvl="0">
      <w:startOverride w:val="10"/>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10170"/>
    <w:rsid w:val="00013F4F"/>
    <w:rsid w:val="000213FE"/>
    <w:rsid w:val="000E71B2"/>
    <w:rsid w:val="001B0613"/>
    <w:rsid w:val="004930CD"/>
    <w:rsid w:val="00736C64"/>
    <w:rsid w:val="00AE46BB"/>
    <w:rsid w:val="00AF7B85"/>
    <w:rsid w:val="00B747CD"/>
    <w:rsid w:val="00BF21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hd w:val="clear" w:color="auto" w:fill="FFFFFF"/>
      <w:spacing w:after="280" w:line="324" w:lineRule="auto"/>
    </w:pPr>
  </w:style>
  <w:style w:type="paragraph" w:customStyle="1" w:styleId="Heading">
    <w:name w:val="Heading"/>
    <w:basedOn w:val="Standard"/>
    <w:next w:val="Textbody"/>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style>
  <w:style w:type="paragraph" w:styleId="Footer">
    <w:name w:val="footer"/>
    <w:basedOn w:val="Standard"/>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rsid w:val="000213FE"/>
  </w:style>
  <w:style w:type="paragraph" w:styleId="BalloonText">
    <w:name w:val="Balloon Text"/>
    <w:basedOn w:val="Normal"/>
    <w:link w:val="BalloonTextChar"/>
    <w:uiPriority w:val="99"/>
    <w:semiHidden/>
    <w:unhideWhenUsed/>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rsid w:val="00AE46BB"/>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faostat3.fao.org/" TargetMode="External"/><Relationship Id="rId18" Type="http://schemas.openxmlformats.org/officeDocument/2006/relationships/hyperlink" Target="https://doi.org/10.1371/journal.pbio.0040216"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hyperlink" Target="https://nph.onlinelibrary.wiley.com/doi/full/10.1111/nph.13713"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BF02887079" TargetMode="External"/><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lice-MacQueen/cdbn-home-away"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doi.org/10.1071/FP11124" TargetMode="External"/><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socialsciences.mcmaster.ca/jfox/Books/Companion/" TargetMode="External"/><Relationship Id="rId22"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32</Pages>
  <Words>7501</Words>
  <Characters>42756</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5</cp:revision>
  <cp:lastPrinted>2021-06-27T21:11:00Z</cp:lastPrinted>
  <dcterms:created xsi:type="dcterms:W3CDTF">2021-06-27T21:10:00Z</dcterms:created>
  <dcterms:modified xsi:type="dcterms:W3CDTF">2021-06-27T21:36:00Z</dcterms:modified>
</cp:coreProperties>
</file>