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B43C5C" w14:textId="77777777" w:rsidR="00F22CD2" w:rsidRDefault="001C399A">
      <w:pPr>
        <w:rPr>
          <w:b/>
        </w:rPr>
      </w:pPr>
      <w:bookmarkStart w:id="0" w:name="_GoBack"/>
      <w:bookmarkEnd w:id="0"/>
      <w:r w:rsidRPr="004B4F57">
        <w:rPr>
          <w:b/>
        </w:rPr>
        <w:t>Introduction</w:t>
      </w:r>
    </w:p>
    <w:p w14:paraId="0AA45C67" w14:textId="70B6B114" w:rsidR="001368FA" w:rsidRDefault="00471597">
      <w:r>
        <w:t>As the bearers of grain, grass panicles have been the target of selection for thousands of years (</w:t>
      </w:r>
      <w:proofErr w:type="spellStart"/>
      <w:r>
        <w:t>Doust</w:t>
      </w:r>
      <w:proofErr w:type="spellEnd"/>
      <w:r>
        <w:t xml:space="preserve">, 2007). </w:t>
      </w:r>
      <w:r w:rsidR="00C65B2A">
        <w:t xml:space="preserve">Panicle size and branching pattern in grasses have increased in complexity throughout the independent domestication events and modern breeding, such as in rice, wheat and </w:t>
      </w:r>
      <w:r w:rsidR="0038189C">
        <w:t>barley</w:t>
      </w:r>
      <w:r>
        <w:t>, resulting in enormous diversity in the panicle (or inflorescences) architectures (</w:t>
      </w:r>
      <w:proofErr w:type="spellStart"/>
      <w:r>
        <w:t>Gelmin</w:t>
      </w:r>
      <w:proofErr w:type="spellEnd"/>
      <w:r>
        <w:t xml:space="preserve"> and </w:t>
      </w:r>
      <w:proofErr w:type="spellStart"/>
      <w:r>
        <w:t>Bataillon</w:t>
      </w:r>
      <w:proofErr w:type="spellEnd"/>
      <w:r>
        <w:t xml:space="preserve">, 2009, </w:t>
      </w:r>
      <w:proofErr w:type="spellStart"/>
      <w:r>
        <w:t>Bommert</w:t>
      </w:r>
      <w:proofErr w:type="spellEnd"/>
      <w:r>
        <w:t xml:space="preserve"> and Whipple, 2018). </w:t>
      </w:r>
      <w:r w:rsidR="00F25A74">
        <w:t>Particularly, b</w:t>
      </w:r>
      <w:r w:rsidR="0038189C">
        <w:t xml:space="preserve">ranching </w:t>
      </w:r>
      <w:r w:rsidR="00F25A74">
        <w:t>pattern plays an important role in wind pollination for wild grasses, as well as in affecting the number and size of grains</w:t>
      </w:r>
      <w:r w:rsidR="00C832D9">
        <w:t>, thus affecting seed yield</w:t>
      </w:r>
      <w:r w:rsidR="00F25A74">
        <w:t xml:space="preserve"> (Friedman and Harder, 2004</w:t>
      </w:r>
      <w:r w:rsidR="00C832D9">
        <w:t>, Brown et al., 2006</w:t>
      </w:r>
      <w:r w:rsidR="00F25A74">
        <w:t>). Seeds are born on primary branches on panicles that sometimes iterate into secondary and tertiary branches.</w:t>
      </w:r>
      <w:r w:rsidR="00F25A74" w:rsidRPr="00F25A74">
        <w:t xml:space="preserve"> </w:t>
      </w:r>
      <w:r w:rsidR="00F25A74">
        <w:t xml:space="preserve">Evidence has shown direct association between panicle architecture and </w:t>
      </w:r>
      <w:r w:rsidR="00C832D9">
        <w:t xml:space="preserve">seed </w:t>
      </w:r>
      <w:r w:rsidR="00F25A74">
        <w:t>productivity in rice</w:t>
      </w:r>
      <w:r w:rsidR="00C832D9">
        <w:t xml:space="preserve"> </w:t>
      </w:r>
      <w:r w:rsidR="00F25A74">
        <w:t xml:space="preserve">(Wang and Li, 2005; Crowell et al., 2016). </w:t>
      </w:r>
      <w:r w:rsidR="001368FA">
        <w:t>S</w:t>
      </w:r>
      <w:r w:rsidR="00F25A74">
        <w:t>tudy on panicle morphology in sorghum revealed strong positive correlation between seed yield and panicle branching (Brown et al., 2006).</w:t>
      </w:r>
      <w:r w:rsidR="00C832D9" w:rsidRPr="00C832D9">
        <w:t xml:space="preserve"> </w:t>
      </w:r>
    </w:p>
    <w:p w14:paraId="1C408D02" w14:textId="5750D156" w:rsidR="00C832D9" w:rsidRDefault="00C832D9">
      <w:r>
        <w:t>Furthermore,</w:t>
      </w:r>
      <w:r w:rsidR="00C56E0D">
        <w:t xml:space="preserve"> quantitative studies have shown that panicles traits variations result from the combination of </w:t>
      </w:r>
      <w:r w:rsidR="006E2CEF">
        <w:t>environment</w:t>
      </w:r>
      <w:r w:rsidR="00BC1C55">
        <w:t xml:space="preserve">al </w:t>
      </w:r>
      <w:r w:rsidR="00C56E0D">
        <w:t>and genetic effects (</w:t>
      </w:r>
      <w:proofErr w:type="spellStart"/>
      <w:r w:rsidR="00C56E0D">
        <w:t>Kovi</w:t>
      </w:r>
      <w:proofErr w:type="spellEnd"/>
      <w:r w:rsidR="00C56E0D">
        <w:t xml:space="preserve"> et al., 2011; Liu et al., 2008</w:t>
      </w:r>
      <w:r w:rsidR="005C2750">
        <w:t xml:space="preserve">; </w:t>
      </w:r>
      <w:proofErr w:type="spellStart"/>
      <w:r w:rsidR="005C2750">
        <w:t>Adriani</w:t>
      </w:r>
      <w:proofErr w:type="spellEnd"/>
      <w:r w:rsidR="005C2750">
        <w:t xml:space="preserve"> et al., 2016; </w:t>
      </w:r>
      <w:proofErr w:type="spellStart"/>
      <w:r w:rsidR="005C2750">
        <w:t>Leng</w:t>
      </w:r>
      <w:proofErr w:type="spellEnd"/>
      <w:r w:rsidR="005C2750">
        <w:t xml:space="preserve"> et al., 2017</w:t>
      </w:r>
      <w:r w:rsidR="00C56E0D">
        <w:t>). For instance, the seasonal temperature and photoperiod fluctuation played a crucial role in determining panicle length in rice (</w:t>
      </w:r>
      <w:proofErr w:type="spellStart"/>
      <w:r w:rsidR="00C56E0D">
        <w:t>Kovi</w:t>
      </w:r>
      <w:proofErr w:type="spellEnd"/>
      <w:r w:rsidR="00C56E0D">
        <w:t xml:space="preserve"> et al., 2011)</w:t>
      </w:r>
      <w:r w:rsidR="005C2750">
        <w:t xml:space="preserve">. </w:t>
      </w:r>
      <w:r w:rsidR="000F774C">
        <w:t xml:space="preserve">A few studies have identified the genetic basis for panicle architecture (Miura et al., 2010; </w:t>
      </w:r>
      <w:proofErr w:type="spellStart"/>
      <w:r w:rsidR="000F774C">
        <w:t>Leng</w:t>
      </w:r>
      <w:proofErr w:type="spellEnd"/>
      <w:r w:rsidR="000F774C">
        <w:t xml:space="preserve"> et al., 2017; </w:t>
      </w:r>
      <w:proofErr w:type="spellStart"/>
      <w:r w:rsidR="000F774C">
        <w:t>Adriani</w:t>
      </w:r>
      <w:proofErr w:type="spellEnd"/>
      <w:r w:rsidR="000F774C">
        <w:t xml:space="preserve"> et al (2016)) and</w:t>
      </w:r>
      <w:r w:rsidR="005C2750">
        <w:t xml:space="preserve"> </w:t>
      </w:r>
      <w:r w:rsidR="000F774C">
        <w:t xml:space="preserve">found that panicle plasticity is genotype and environment dependent. Additionally, </w:t>
      </w:r>
      <w:r w:rsidR="001368FA">
        <w:t>flowering time and plant height</w:t>
      </w:r>
      <w:r w:rsidR="000F774C">
        <w:t>,</w:t>
      </w:r>
      <w:r w:rsidR="001368FA">
        <w:t xml:space="preserve"> and the genes </w:t>
      </w:r>
      <w:r w:rsidR="002F1563">
        <w:t>associated</w:t>
      </w:r>
      <w:r w:rsidR="001368FA">
        <w:t xml:space="preserve"> with them</w:t>
      </w:r>
      <w:r>
        <w:t xml:space="preserve"> have been shown to influence panicle traits in rice and sorghum (Yu et al., 2017; Miura et al., 2010; Komatsu et al., 2003; Brown et al., 2006).</w:t>
      </w:r>
      <w:r w:rsidR="001368FA">
        <w:t xml:space="preserve"> </w:t>
      </w:r>
      <w:r w:rsidR="00000F90">
        <w:t>Study of panicle architecture and their genetic basis is extensively studied for staple annual</w:t>
      </w:r>
      <w:r w:rsidR="00471597">
        <w:t xml:space="preserve"> food</w:t>
      </w:r>
      <w:r w:rsidR="00000F90">
        <w:t xml:space="preserve"> crops but </w:t>
      </w:r>
      <w:r w:rsidR="005F0F6C">
        <w:t xml:space="preserve">studies of panicle morphology on perennial </w:t>
      </w:r>
      <w:r w:rsidR="00471597">
        <w:t>grasses</w:t>
      </w:r>
      <w:r w:rsidR="00000F90">
        <w:t xml:space="preserve"> important for bioenergy </w:t>
      </w:r>
      <w:r w:rsidR="00471597">
        <w:t xml:space="preserve">production </w:t>
      </w:r>
      <w:r w:rsidR="005F0F6C">
        <w:t xml:space="preserve">are limited. </w:t>
      </w:r>
      <w:r w:rsidR="00471597">
        <w:t xml:space="preserve">It is important to understand the potential of breeding programs to increase seed and biomass production of </w:t>
      </w:r>
      <w:r w:rsidR="005F0F6C">
        <w:t>bioenergy.</w:t>
      </w:r>
    </w:p>
    <w:p w14:paraId="34DF58D5" w14:textId="5F01B8DD" w:rsidR="003D2C6A" w:rsidRDefault="003D2C6A" w:rsidP="003D2C6A">
      <w:r>
        <w:t xml:space="preserve">Switchgrass </w:t>
      </w:r>
      <w:r w:rsidR="00A2266C">
        <w:t>(</w:t>
      </w:r>
      <w:r w:rsidR="00A2266C" w:rsidRPr="00A2266C">
        <w:rPr>
          <w:i/>
        </w:rPr>
        <w:t>Panicum virgatum</w:t>
      </w:r>
      <w:r w:rsidR="00A2266C">
        <w:t xml:space="preserve"> L.) </w:t>
      </w:r>
      <w:r>
        <w:t>is one of the</w:t>
      </w:r>
      <w:r w:rsidR="00000F90">
        <w:t xml:space="preserve"> potential</w:t>
      </w:r>
      <w:r>
        <w:t xml:space="preserve"> </w:t>
      </w:r>
      <w:r w:rsidR="00412E16">
        <w:t>biofuel</w:t>
      </w:r>
      <w:r w:rsidR="00000F90">
        <w:t xml:space="preserve"> crops.</w:t>
      </w:r>
      <w:r w:rsidR="00412E16">
        <w:t xml:space="preserve"> </w:t>
      </w:r>
      <w:r w:rsidR="00000F90">
        <w:t>S</w:t>
      </w:r>
      <w:r w:rsidR="00412E16">
        <w:t xml:space="preserve">ubstantial research has been conducted after </w:t>
      </w:r>
      <w:r>
        <w:t xml:space="preserve">it was selected by the US </w:t>
      </w:r>
      <w:r w:rsidR="00412E16">
        <w:t>DOE</w:t>
      </w:r>
      <w:r>
        <w:t xml:space="preserve"> as a model herbaceous species for bioenergy </w:t>
      </w:r>
      <w:r w:rsidR="00412E16">
        <w:t xml:space="preserve">since the early 1990s </w:t>
      </w:r>
      <w:r>
        <w:t xml:space="preserve">(Wright and </w:t>
      </w:r>
      <w:proofErr w:type="spellStart"/>
      <w:r>
        <w:t>Turhollow</w:t>
      </w:r>
      <w:proofErr w:type="spellEnd"/>
      <w:r>
        <w:t>, 2010; McLaughlin, 1993).</w:t>
      </w:r>
      <w:r w:rsidR="00412E16">
        <w:t xml:space="preserve"> </w:t>
      </w:r>
      <w:r>
        <w:t>Switchgrass is a warm-season C4 perennial grass native to the North America, ranging west to the Rocky Mountains and South to the Texas Coastal Plain (</w:t>
      </w:r>
      <w:proofErr w:type="spellStart"/>
      <w:r>
        <w:t>Casler</w:t>
      </w:r>
      <w:proofErr w:type="spellEnd"/>
      <w:r>
        <w:t xml:space="preserve"> et al., 2007; Hopkins et al., 1995). Evolutionary processes and environmental gradients have shaped switchgrass significantly in phenotypes and genotypes, resulting in the classification of upland and lowland ecotypes based on the morphology and habit preference (Porter, 1966). </w:t>
      </w:r>
      <w:r w:rsidR="00CC5380">
        <w:t>A most recent study investigated the contribution of individual genetic loc</w:t>
      </w:r>
      <w:r w:rsidR="00871F65">
        <w:t>us</w:t>
      </w:r>
      <w:r w:rsidR="00CC5380">
        <w:t xml:space="preserve"> to traits variation across a large geographic space to understand local adaptation in switchgrass, suggesting that breeding locally adapted varieties of switchgrass will be a boon to biofuel industry (Lowry et al., 2019).</w:t>
      </w:r>
      <w:r>
        <w:t>The potential of high biomass production on marginal land, environment-friendly ecosystem service, and genetic diversity make switchgrass an excellent material for filing biomass needs and plant breeding.</w:t>
      </w:r>
    </w:p>
    <w:p w14:paraId="63B045CE" w14:textId="5D695C15" w:rsidR="00BA624F" w:rsidRDefault="00471597" w:rsidP="00412E16">
      <w:r>
        <w:t>T</w:t>
      </w:r>
      <w:r w:rsidR="00412E16">
        <w:t xml:space="preserve">he main focus in switchgrass breeding has been for high biomass production, </w:t>
      </w:r>
      <w:r>
        <w:t>but</w:t>
      </w:r>
      <w:r w:rsidR="00412E16">
        <w:t xml:space="preserve"> panicle morphology </w:t>
      </w:r>
      <w:r w:rsidR="00180977">
        <w:t xml:space="preserve">and </w:t>
      </w:r>
      <w:r>
        <w:t xml:space="preserve">its relationship to </w:t>
      </w:r>
      <w:r w:rsidR="00180977">
        <w:t xml:space="preserve">seed </w:t>
      </w:r>
      <w:r>
        <w:t xml:space="preserve">production should not be overlooked as this is critical </w:t>
      </w:r>
      <w:r w:rsidR="00412E16">
        <w:t xml:space="preserve">to meet the demand </w:t>
      </w:r>
      <w:r>
        <w:t>for large-scale biofuel production</w:t>
      </w:r>
      <w:r w:rsidR="00412E16">
        <w:t xml:space="preserve"> (Vogel, 2000; Das and Taliaferro, 2009). </w:t>
      </w:r>
      <w:r w:rsidR="00BA624F">
        <w:t xml:space="preserve">Panicle morphology in switchgrass has become divergent throughout evolutionary processes and modern breeding (Porter, 1966). </w:t>
      </w:r>
      <w:r w:rsidR="00180977">
        <w:t>I</w:t>
      </w:r>
      <w:r w:rsidR="00412E16">
        <w:t xml:space="preserve">nformation on the </w:t>
      </w:r>
      <w:r w:rsidR="00180977">
        <w:t xml:space="preserve">phenotypic variation and </w:t>
      </w:r>
      <w:r w:rsidR="00412E16">
        <w:t>genetic variability for panicle morphology is limited</w:t>
      </w:r>
      <w:r w:rsidR="00BA624F">
        <w:t xml:space="preserve">, although panicle length has been reported divergent between </w:t>
      </w:r>
      <w:r>
        <w:t xml:space="preserve">switchgrass </w:t>
      </w:r>
      <w:r w:rsidR="00BA624F">
        <w:t>ecotypes</w:t>
      </w:r>
      <w:r>
        <w:t xml:space="preserve"> and </w:t>
      </w:r>
      <w:r w:rsidR="00BA624F">
        <w:t xml:space="preserve">cultivars (Porter, 1966; </w:t>
      </w:r>
      <w:proofErr w:type="spellStart"/>
      <w:r w:rsidR="00BA624F">
        <w:t>Esbroeck</w:t>
      </w:r>
      <w:proofErr w:type="spellEnd"/>
      <w:r w:rsidR="00BA624F">
        <w:t xml:space="preserve"> et al., 2003; Price and </w:t>
      </w:r>
      <w:proofErr w:type="spellStart"/>
      <w:r w:rsidR="00BA624F">
        <w:t>Casler</w:t>
      </w:r>
      <w:proofErr w:type="spellEnd"/>
      <w:r w:rsidR="00BA624F">
        <w:t xml:space="preserve">, 2013). </w:t>
      </w:r>
      <w:r>
        <w:t>Furthermore, a</w:t>
      </w:r>
      <w:r w:rsidR="00180977">
        <w:t xml:space="preserve"> </w:t>
      </w:r>
      <w:r w:rsidR="00BA624F">
        <w:t xml:space="preserve">strong </w:t>
      </w:r>
      <w:r w:rsidR="00180977">
        <w:t xml:space="preserve">relationship between </w:t>
      </w:r>
      <w:r w:rsidR="00180977">
        <w:lastRenderedPageBreak/>
        <w:t>panicle traits and</w:t>
      </w:r>
      <w:r w:rsidR="00412E16">
        <w:t xml:space="preserve"> seed yield </w:t>
      </w:r>
      <w:r>
        <w:t xml:space="preserve">has been identified </w:t>
      </w:r>
      <w:r w:rsidR="00B360BB">
        <w:t>for switchgrass cultivars ‘Summer’ and ‘Sunburst’ (</w:t>
      </w:r>
      <w:proofErr w:type="spellStart"/>
      <w:r w:rsidR="00B360BB">
        <w:t>Boe</w:t>
      </w:r>
      <w:proofErr w:type="spellEnd"/>
      <w:r w:rsidR="00B360BB">
        <w:t xml:space="preserve">, 2007) and for </w:t>
      </w:r>
      <w:r w:rsidR="00176AC9">
        <w:t xml:space="preserve">11 lowland </w:t>
      </w:r>
      <w:r w:rsidR="00412E16">
        <w:t xml:space="preserve">switchgrass </w:t>
      </w:r>
      <w:r w:rsidR="00176AC9">
        <w:t xml:space="preserve">populations </w:t>
      </w:r>
      <w:r w:rsidR="00412E16">
        <w:t>(Das and Taliaferro, 2009).</w:t>
      </w:r>
      <w:r w:rsidR="00B360BB">
        <w:t xml:space="preserve"> T</w:t>
      </w:r>
      <w:r w:rsidR="00663908">
        <w:t>he genetic basis underlying panicle traits</w:t>
      </w:r>
      <w:r w:rsidR="004B41B6">
        <w:t xml:space="preserve">, </w:t>
      </w:r>
      <w:r>
        <w:t xml:space="preserve">in particular </w:t>
      </w:r>
      <w:r w:rsidR="004B41B6">
        <w:t>how individual genetic loci contribute to panicle phenotypes across environmental gradients</w:t>
      </w:r>
      <w:r w:rsidR="001A6977" w:rsidRPr="001A6977">
        <w:t xml:space="preserve"> </w:t>
      </w:r>
      <w:r w:rsidR="001A6977">
        <w:t>in switchgrass</w:t>
      </w:r>
      <w:r w:rsidR="00D44836">
        <w:t xml:space="preserve"> is still unknown</w:t>
      </w:r>
      <w:r w:rsidR="004B41B6">
        <w:t xml:space="preserve">.  </w:t>
      </w:r>
    </w:p>
    <w:p w14:paraId="58421DA3" w14:textId="154262B3" w:rsidR="00B360BB" w:rsidRDefault="00581BD0" w:rsidP="00412E16">
      <w:r>
        <w:t xml:space="preserve">Studies that combine reciprocal field experiments with quantitative trait loci (QTL) mapping </w:t>
      </w:r>
      <w:r w:rsidR="00B360BB">
        <w:t xml:space="preserve">have </w:t>
      </w:r>
      <w:r>
        <w:t>facilitate</w:t>
      </w:r>
      <w:r w:rsidR="00B360BB">
        <w:t>d</w:t>
      </w:r>
      <w:r>
        <w:t xml:space="preserve"> to reveal underlying genetic basis</w:t>
      </w:r>
      <w:r w:rsidR="00CC5380">
        <w:t xml:space="preserve"> for phenotypic traits</w:t>
      </w:r>
      <w:r>
        <w:t xml:space="preserve">. It is not uncommon that </w:t>
      </w:r>
      <w:r w:rsidR="001E5D8C">
        <w:t xml:space="preserve">individual loci </w:t>
      </w:r>
      <w:r w:rsidR="009015D0">
        <w:t>have effects on phenotypes in one environmental</w:t>
      </w:r>
      <w:r w:rsidR="00CC5380">
        <w:t xml:space="preserve"> condition</w:t>
      </w:r>
      <w:r w:rsidR="009015D0">
        <w:t xml:space="preserve">, but not in </w:t>
      </w:r>
      <w:r w:rsidR="00CC5380">
        <w:t xml:space="preserve">the other </w:t>
      </w:r>
      <w:r w:rsidR="009015D0">
        <w:t>alternative environments</w:t>
      </w:r>
      <w:r w:rsidR="00200997">
        <w:t xml:space="preserve"> (i.e., QTL by environment interactions, Q x E</w:t>
      </w:r>
      <w:r w:rsidR="00B360BB">
        <w:t xml:space="preserve">; </w:t>
      </w:r>
      <w:proofErr w:type="spellStart"/>
      <w:r w:rsidR="00B360BB">
        <w:t>Savolainen</w:t>
      </w:r>
      <w:proofErr w:type="spellEnd"/>
      <w:r w:rsidR="00B360BB">
        <w:t xml:space="preserve"> et al., 2013, Lowry et al., 2019</w:t>
      </w:r>
      <w:r w:rsidR="00200997">
        <w:t>)</w:t>
      </w:r>
      <w:r w:rsidR="009015D0">
        <w:t>.</w:t>
      </w:r>
      <w:r w:rsidR="00200997">
        <w:t xml:space="preserve"> Q x E analysis is similar to </w:t>
      </w:r>
      <w:r w:rsidR="0070126B">
        <w:t>genotype by environment (i.e., G x E) analysis such that G x E interactions are considered as a plant-based scale since each plant is a genotype, while Q x E interactions are chromosome based</w:t>
      </w:r>
      <w:r w:rsidR="00D24A84">
        <w:t xml:space="preserve"> (El-Soda et al., 2014)</w:t>
      </w:r>
      <w:r w:rsidR="0070126B">
        <w:t xml:space="preserve">. G x E interactions are indicative of which parental genotypes are suitable to specific environments, whereas, Q x E interactions are indicative of which alleles from the parental genotypes have a stronger effect in specific environments. </w:t>
      </w:r>
      <w:r w:rsidR="009015D0">
        <w:t xml:space="preserve">With finer-scale analyses of genetic effects across large geographic space, it is helpful to assess the contribution of individual loci across environmental gradients. </w:t>
      </w:r>
    </w:p>
    <w:p w14:paraId="3ED00401" w14:textId="527BC162" w:rsidR="00180977" w:rsidRDefault="009015D0" w:rsidP="00412E16">
      <w:r>
        <w:t>In this study, we focus on the panicle traits by evaluating their genetic basis and</w:t>
      </w:r>
      <w:r w:rsidR="00A2266C">
        <w:t xml:space="preserve"> the</w:t>
      </w:r>
      <w:r>
        <w:t xml:space="preserve"> </w:t>
      </w:r>
      <w:r w:rsidR="00200997">
        <w:t>Q</w:t>
      </w:r>
      <w:r w:rsidR="00CC5380">
        <w:t xml:space="preserve"> x E </w:t>
      </w:r>
      <w:r w:rsidR="00A2266C">
        <w:t xml:space="preserve">interactions in an outcrossing switchgrass population across 10 field sites in the central US. Specifically, we planted </w:t>
      </w:r>
      <w:r w:rsidR="00003BD6">
        <w:t>380</w:t>
      </w:r>
      <w:r w:rsidR="00A2266C">
        <w:t xml:space="preserve"> progenies from a four-way outbred mapping population, along with the 4 grandparents and F1 hybrids, at all the 10 field sites. </w:t>
      </w:r>
      <w:r w:rsidR="00D24A84">
        <w:t>Three traits of p</w:t>
      </w:r>
      <w:r w:rsidR="00A2266C">
        <w:t xml:space="preserve">anicle morphology data (panicle length, primary branches per panicle, </w:t>
      </w:r>
      <w:r w:rsidR="00CC5380">
        <w:t xml:space="preserve">and </w:t>
      </w:r>
      <w:r w:rsidR="00A2266C">
        <w:t>secondary branches on the panicle) were collected at each site</w:t>
      </w:r>
      <w:r w:rsidR="00CC5380">
        <w:t xml:space="preserve"> to investigate: </w:t>
      </w:r>
      <w:r w:rsidR="00A57CD2">
        <w:t xml:space="preserve">(1) genetic basis </w:t>
      </w:r>
      <w:r w:rsidR="0070126B">
        <w:t xml:space="preserve">(QTLs) </w:t>
      </w:r>
      <w:r w:rsidR="00CC5380">
        <w:t>underlying</w:t>
      </w:r>
      <w:r w:rsidR="00A57CD2">
        <w:t xml:space="preserve"> </w:t>
      </w:r>
      <w:r w:rsidR="00D24A84">
        <w:t xml:space="preserve">the three </w:t>
      </w:r>
      <w:r w:rsidR="00A57CD2">
        <w:t>panicle traits</w:t>
      </w:r>
      <w:r w:rsidR="0076511C">
        <w:t>,</w:t>
      </w:r>
      <w:r w:rsidR="00A57CD2">
        <w:t xml:space="preserve"> (2) QTL</w:t>
      </w:r>
      <w:r w:rsidR="00964C11">
        <w:t>s</w:t>
      </w:r>
      <w:r w:rsidR="00A57CD2">
        <w:t xml:space="preserve"> involved in </w:t>
      </w:r>
      <w:r w:rsidR="00200997">
        <w:t>Q</w:t>
      </w:r>
      <w:r w:rsidR="00A57CD2">
        <w:t xml:space="preserve"> x E interactions</w:t>
      </w:r>
      <w:r w:rsidR="0076511C">
        <w:t>,</w:t>
      </w:r>
      <w:r w:rsidR="00F22CD2">
        <w:t xml:space="preserve"> </w:t>
      </w:r>
      <w:r w:rsidR="00A57CD2">
        <w:t>(3)</w:t>
      </w:r>
      <w:r w:rsidR="00F22CD2">
        <w:t xml:space="preserve"> </w:t>
      </w:r>
      <w:r w:rsidR="00A57CD2">
        <w:t xml:space="preserve">environmental factors contributing to the </w:t>
      </w:r>
      <w:r w:rsidR="00200997">
        <w:t>Q</w:t>
      </w:r>
      <w:r w:rsidR="00A57CD2">
        <w:t xml:space="preserve"> x E interaction</w:t>
      </w:r>
      <w:r w:rsidR="0076511C">
        <w:t>s.</w:t>
      </w:r>
    </w:p>
    <w:p w14:paraId="2A51A617" w14:textId="45782324" w:rsidR="001C399A" w:rsidRPr="00DB1F5D" w:rsidRDefault="000C20BA">
      <w:pPr>
        <w:rPr>
          <w:b/>
          <w:sz w:val="28"/>
          <w:szCs w:val="28"/>
        </w:rPr>
      </w:pPr>
      <w:r w:rsidRPr="00DB1F5D">
        <w:rPr>
          <w:b/>
          <w:sz w:val="28"/>
          <w:szCs w:val="28"/>
        </w:rPr>
        <w:t xml:space="preserve">Materials and </w:t>
      </w:r>
      <w:r w:rsidR="001C399A" w:rsidRPr="00DB1F5D">
        <w:rPr>
          <w:b/>
          <w:sz w:val="28"/>
          <w:szCs w:val="28"/>
        </w:rPr>
        <w:t>Methods</w:t>
      </w:r>
    </w:p>
    <w:p w14:paraId="1F70B849" w14:textId="135C9AE5" w:rsidR="001C399A" w:rsidRPr="00FD1C20" w:rsidRDefault="00FD1C20">
      <w:pPr>
        <w:rPr>
          <w:b/>
        </w:rPr>
      </w:pPr>
      <w:r w:rsidRPr="00FD1C20">
        <w:rPr>
          <w:b/>
        </w:rPr>
        <w:t>Field experiment</w:t>
      </w:r>
      <w:r w:rsidR="001C399A" w:rsidRPr="00FD1C20">
        <w:rPr>
          <w:b/>
        </w:rPr>
        <w:t xml:space="preserve"> and phenotyping  </w:t>
      </w:r>
    </w:p>
    <w:p w14:paraId="192996E7" w14:textId="0B8128D6" w:rsidR="00FD1C20" w:rsidRDefault="000C20BA" w:rsidP="00CD6EE5">
      <w:pPr>
        <w:autoSpaceDE w:val="0"/>
        <w:autoSpaceDN w:val="0"/>
        <w:adjustRightInd w:val="0"/>
        <w:spacing w:after="0" w:line="240" w:lineRule="auto"/>
      </w:pPr>
      <w:r>
        <w:t xml:space="preserve">The details of creation of the population are described in Milano et al. (2016). Briefly, </w:t>
      </w:r>
      <w:r w:rsidR="00CD6EE5">
        <w:t>t</w:t>
      </w:r>
      <w:r w:rsidR="00CD6EE5" w:rsidRPr="00CD6EE5">
        <w:t>he</w:t>
      </w:r>
      <w:r w:rsidR="00CD6EE5">
        <w:t xml:space="preserve"> </w:t>
      </w:r>
      <w:r w:rsidR="00CD6EE5" w:rsidRPr="00CD6EE5">
        <w:t>grandparents of the mapping population were derived from</w:t>
      </w:r>
      <w:r w:rsidR="00CD6EE5">
        <w:t xml:space="preserve"> </w:t>
      </w:r>
      <w:r w:rsidR="00CD6EE5" w:rsidRPr="00CD6EE5">
        <w:t>highly divergent southern lowland and northern upland ecotypes</w:t>
      </w:r>
      <w:r w:rsidR="00CD6EE5">
        <w:t>. T</w:t>
      </w:r>
      <w:r>
        <w:t xml:space="preserve">he population was </w:t>
      </w:r>
      <w:r w:rsidR="00F54DBD">
        <w:t>developed</w:t>
      </w:r>
      <w:r>
        <w:t xml:space="preserve"> by initial crosses between AP13</w:t>
      </w:r>
      <w:r w:rsidR="00F30C06">
        <w:t xml:space="preserve"> (A)</w:t>
      </w:r>
      <w:r>
        <w:t xml:space="preserve"> x DAC6 </w:t>
      </w:r>
      <w:r w:rsidR="00F30C06">
        <w:t xml:space="preserve">(B) </w:t>
      </w:r>
      <w:r>
        <w:t xml:space="preserve">and WBC3 </w:t>
      </w:r>
      <w:r w:rsidR="00F30C06">
        <w:t xml:space="preserve">(C) </w:t>
      </w:r>
      <w:r>
        <w:t>x VS16</w:t>
      </w:r>
      <w:r w:rsidR="00F30C06">
        <w:t xml:space="preserve"> (D)</w:t>
      </w:r>
      <w:r>
        <w:t xml:space="preserve">. </w:t>
      </w:r>
      <w:r w:rsidR="00163D33">
        <w:t>AP13 and WBC3 are genotypes clonally derived from lowland cultivars ‘Alamo’ (southern Texas accession) and ‘West Bee Cave’ (Central Texas accession), respectively. DAC6 and VS16 are genotypes derived from upland cultivars ‘</w:t>
      </w:r>
      <w:proofErr w:type="spellStart"/>
      <w:r w:rsidR="00163D33">
        <w:t>Dacotah</w:t>
      </w:r>
      <w:proofErr w:type="spellEnd"/>
      <w:r w:rsidR="00163D33">
        <w:t xml:space="preserve">’ and Summer (northern upland accession), respectively. </w:t>
      </w:r>
      <w:r w:rsidR="00EE2F5A">
        <w:t xml:space="preserve">The F1 hybrids of each of those crosses were then intercrossed reciprocally to produce the four-way outbred mapping population. </w:t>
      </w:r>
    </w:p>
    <w:p w14:paraId="7FD7F9E6" w14:textId="77777777" w:rsidR="00CD6EE5" w:rsidRDefault="00CD6EE5" w:rsidP="00CD6EE5">
      <w:pPr>
        <w:autoSpaceDE w:val="0"/>
        <w:autoSpaceDN w:val="0"/>
        <w:adjustRightInd w:val="0"/>
        <w:spacing w:after="0" w:line="240" w:lineRule="auto"/>
      </w:pPr>
    </w:p>
    <w:p w14:paraId="65D0FEB7" w14:textId="01FEC52D" w:rsidR="00D32B66" w:rsidRDefault="00D32B66">
      <w:r>
        <w:t>The grandparents, F1 hybrid parents, and the four-way population were propagate</w:t>
      </w:r>
      <w:r w:rsidR="00F54DBD">
        <w:t>d by dividing plants manually to make 10 replicate clones, each of which was maintained in 3.8-L pot at Brackenridge Field Laboratory, Austin, TX in 2014-2015</w:t>
      </w:r>
      <w:r w:rsidR="002E37D0">
        <w:t>.</w:t>
      </w:r>
      <w:r w:rsidR="00A22A74">
        <w:t xml:space="preserve"> One replicate of each of the mapping progeny genotypes, along with multiple replicates of grandparents and F1 parents,</w:t>
      </w:r>
      <w:r w:rsidR="002E37D0">
        <w:t xml:space="preserve"> were </w:t>
      </w:r>
      <w:r w:rsidR="00A22A74">
        <w:t>transplanted</w:t>
      </w:r>
      <w:r w:rsidR="00D24A84">
        <w:t xml:space="preserve"> from May to July of 2015 at</w:t>
      </w:r>
      <w:r w:rsidR="002E37D0">
        <w:t xml:space="preserve"> 10 field sites</w:t>
      </w:r>
      <w:r w:rsidR="00D24A84">
        <w:t>. The 10 field sites</w:t>
      </w:r>
      <w:r w:rsidR="002E37D0">
        <w:t xml:space="preserve"> cover 17 degrees of latitude from South Texas to South Dakota</w:t>
      </w:r>
      <w:r w:rsidR="00505128">
        <w:t xml:space="preserve"> (Figure 1</w:t>
      </w:r>
      <w:r w:rsidR="00964C11">
        <w:t>A</w:t>
      </w:r>
      <w:r w:rsidR="00505128">
        <w:t>)</w:t>
      </w:r>
      <w:r w:rsidR="002E37D0">
        <w:t>.</w:t>
      </w:r>
      <w:r w:rsidR="00FB1C98">
        <w:t xml:space="preserve"> Detailed information of the 10 field sites, including latitude, longitude and soil type, is provided in Table S1.</w:t>
      </w:r>
      <w:r w:rsidR="002E37D0">
        <w:t xml:space="preserve"> </w:t>
      </w:r>
      <w:r w:rsidR="00282D78">
        <w:t xml:space="preserve">The annual mean temperature at the 10 sites ranged from 10.4 </w:t>
      </w:r>
      <w:r w:rsidR="00282D78">
        <w:rPr>
          <w:rFonts w:cstheme="minorHAnsi"/>
        </w:rPr>
        <w:t>°</w:t>
      </w:r>
      <w:r w:rsidR="00282D78">
        <w:t xml:space="preserve">C in the north to 20.7 </w:t>
      </w:r>
      <w:r w:rsidR="00282D78">
        <w:rPr>
          <w:rFonts w:cstheme="minorHAnsi"/>
        </w:rPr>
        <w:t>°</w:t>
      </w:r>
      <w:r w:rsidR="00282D78">
        <w:t>C to the south, and the total rainfall varied from 574 mm to 1440 mm</w:t>
      </w:r>
      <w:r w:rsidR="00282D78" w:rsidRPr="00282D78">
        <w:t xml:space="preserve"> </w:t>
      </w:r>
      <w:r w:rsidR="00282D78">
        <w:t xml:space="preserve">in 2016 (Figure 1B). </w:t>
      </w:r>
      <w:r w:rsidR="00D24A84">
        <w:t>To control weeds, e</w:t>
      </w:r>
      <w:r w:rsidR="002E37D0">
        <w:t xml:space="preserve">ach field </w:t>
      </w:r>
      <w:r w:rsidR="00D24A84">
        <w:t xml:space="preserve">site </w:t>
      </w:r>
      <w:r w:rsidR="002E37D0">
        <w:t xml:space="preserve">was covered with one layer of weed </w:t>
      </w:r>
      <w:r w:rsidR="00A22A74">
        <w:t xml:space="preserve">barrier </w:t>
      </w:r>
      <w:r w:rsidR="002E37D0">
        <w:t>cloth</w:t>
      </w:r>
      <w:r w:rsidR="00A22A74">
        <w:t xml:space="preserve"> (Dewitt, Sikeston, MO)</w:t>
      </w:r>
      <w:r w:rsidR="002E37D0">
        <w:t xml:space="preserve">. Holes were cut </w:t>
      </w:r>
      <w:r w:rsidR="002E37D0">
        <w:lastRenderedPageBreak/>
        <w:t xml:space="preserve">into the weed cloth </w:t>
      </w:r>
      <w:r w:rsidR="00015B40">
        <w:t>in a honeycomb fa</w:t>
      </w:r>
      <w:r w:rsidR="00AB34F4">
        <w:t>shion</w:t>
      </w:r>
      <w:r w:rsidR="00EC17F0">
        <w:t xml:space="preserve">. Plants were randomized into the holes, with each plant having four nearest neighbors </w:t>
      </w:r>
      <w:r w:rsidR="00D24A84">
        <w:t xml:space="preserve">each </w:t>
      </w:r>
      <w:r w:rsidR="00EC17F0">
        <w:t>located 1.56m away from each other.</w:t>
      </w:r>
      <w:r w:rsidR="000F445F">
        <w:t xml:space="preserve"> A row of </w:t>
      </w:r>
      <w:r w:rsidR="004747F7">
        <w:t>lowland plants (AP13 or WBC3)</w:t>
      </w:r>
      <w:r w:rsidR="000F445F">
        <w:t xml:space="preserve"> was planted at every edge position of the field to </w:t>
      </w:r>
      <w:r w:rsidR="00A22A74">
        <w:t>minimize</w:t>
      </w:r>
      <w:r w:rsidR="000F445F">
        <w:t xml:space="preserve"> edge effects. Plants were well watered to facilitate establishment and </w:t>
      </w:r>
      <w:r w:rsidR="0076511C">
        <w:t xml:space="preserve">phenotypes were </w:t>
      </w:r>
      <w:r w:rsidR="000F445F">
        <w:t>measured in 2016.</w:t>
      </w:r>
    </w:p>
    <w:p w14:paraId="3B8DD8EF" w14:textId="31C5A078" w:rsidR="004747F7" w:rsidRDefault="00163D33">
      <w:r>
        <w:t>Panicle length (</w:t>
      </w:r>
      <w:r w:rsidR="00EF66DC">
        <w:t>LEN in mm</w:t>
      </w:r>
      <w:r>
        <w:t xml:space="preserve">), </w:t>
      </w:r>
      <w:r w:rsidR="00D24A84">
        <w:t xml:space="preserve">number of </w:t>
      </w:r>
      <w:r>
        <w:t>primary branch</w:t>
      </w:r>
      <w:r w:rsidR="00FC1845">
        <w:t>es</w:t>
      </w:r>
      <w:r>
        <w:t xml:space="preserve"> </w:t>
      </w:r>
      <w:r w:rsidR="00FC1845">
        <w:t>per</w:t>
      </w:r>
      <w:r>
        <w:t xml:space="preserve"> panicle (</w:t>
      </w:r>
      <w:r w:rsidR="00964C11">
        <w:t>PRM</w:t>
      </w:r>
      <w:r>
        <w:t xml:space="preserve">), </w:t>
      </w:r>
      <w:r w:rsidR="00D24A84">
        <w:t xml:space="preserve">number of </w:t>
      </w:r>
      <w:r>
        <w:t>secondary branch</w:t>
      </w:r>
      <w:r w:rsidR="00FC1845">
        <w:t>es</w:t>
      </w:r>
      <w:r>
        <w:t xml:space="preserve"> on the panicle (</w:t>
      </w:r>
      <w:r w:rsidR="00964C11">
        <w:t>SEC</w:t>
      </w:r>
      <w:r>
        <w:t>) were assessed at the end of growing season</w:t>
      </w:r>
      <w:r w:rsidR="004747F7">
        <w:t xml:space="preserve">. </w:t>
      </w:r>
      <w:r w:rsidR="00EF66DC">
        <w:t xml:space="preserve">LEN </w:t>
      </w:r>
      <w:r w:rsidR="004747F7">
        <w:t xml:space="preserve">was measured </w:t>
      </w:r>
      <w:r w:rsidR="00FC1845">
        <w:t xml:space="preserve">on the primary panicle </w:t>
      </w:r>
      <w:r w:rsidR="004747F7">
        <w:t xml:space="preserve">from </w:t>
      </w:r>
      <w:r w:rsidR="00FC1845">
        <w:t xml:space="preserve">the base of </w:t>
      </w:r>
      <w:r w:rsidR="00B05A7A">
        <w:t>the first primary branch to the top of the panicle</w:t>
      </w:r>
      <w:r w:rsidR="00FC1845">
        <w:t xml:space="preserve">. </w:t>
      </w:r>
      <w:r w:rsidR="00964C11">
        <w:t>PRM</w:t>
      </w:r>
      <w:r w:rsidR="00FC1845">
        <w:t xml:space="preserve"> was counted as</w:t>
      </w:r>
      <w:r w:rsidR="004747F7">
        <w:t xml:space="preserve"> the total number of branches coming out directly from the peduncle. </w:t>
      </w:r>
      <w:r w:rsidR="00964C11">
        <w:t>SEC</w:t>
      </w:r>
      <w:r w:rsidR="004747F7">
        <w:t xml:space="preserve"> referred to the total number of branches coming out from the primary branches of the panicle.</w:t>
      </w:r>
    </w:p>
    <w:p w14:paraId="2C62BBE0" w14:textId="5E545175" w:rsidR="001C399A" w:rsidRDefault="001C399A">
      <w:pPr>
        <w:rPr>
          <w:b/>
        </w:rPr>
      </w:pPr>
      <w:r w:rsidRPr="00B05A7A">
        <w:rPr>
          <w:b/>
        </w:rPr>
        <w:t>Genotyping and map construction</w:t>
      </w:r>
    </w:p>
    <w:p w14:paraId="44CB86B2" w14:textId="538376DB" w:rsidR="00D24A84" w:rsidRDefault="006E21CF" w:rsidP="00D24A84">
      <w:pPr>
        <w:autoSpaceDE w:val="0"/>
        <w:autoSpaceDN w:val="0"/>
        <w:adjustRightInd w:val="0"/>
        <w:spacing w:after="0" w:line="240" w:lineRule="auto"/>
      </w:pPr>
      <w:r w:rsidRPr="00CD6EE5">
        <w:t xml:space="preserve">Illumina </w:t>
      </w:r>
      <w:r w:rsidR="00504C32">
        <w:t xml:space="preserve">fragment paired end </w:t>
      </w:r>
      <w:r w:rsidRPr="00CD6EE5">
        <w:t>libraries</w:t>
      </w:r>
      <w:r w:rsidR="00504C32">
        <w:t>, representing each</w:t>
      </w:r>
      <w:r w:rsidR="00CD73AE" w:rsidRPr="00CD6EE5">
        <w:t xml:space="preserve"> of the four</w:t>
      </w:r>
      <w:r w:rsidR="00504C32">
        <w:t xml:space="preserve"> </w:t>
      </w:r>
      <w:r w:rsidR="00CD73AE" w:rsidRPr="00CD6EE5">
        <w:t xml:space="preserve">grandparents </w:t>
      </w:r>
      <w:r w:rsidR="00F30C06">
        <w:t xml:space="preserve">(A: AP13, B: DAC; C: WBC; D: VS16) </w:t>
      </w:r>
      <w:r w:rsidR="006F3E37" w:rsidRPr="00CD6EE5">
        <w:t xml:space="preserve">were aligned to the </w:t>
      </w:r>
      <w:r w:rsidR="00CD73AE" w:rsidRPr="00504C32">
        <w:rPr>
          <w:i/>
        </w:rPr>
        <w:t>P</w:t>
      </w:r>
      <w:r w:rsidR="00504C32" w:rsidRPr="00504C32">
        <w:rPr>
          <w:i/>
        </w:rPr>
        <w:t>anicum</w:t>
      </w:r>
      <w:r w:rsidR="00CD73AE" w:rsidRPr="00504C32">
        <w:rPr>
          <w:i/>
        </w:rPr>
        <w:t xml:space="preserve"> virgatum</w:t>
      </w:r>
      <w:r w:rsidR="00CD73AE" w:rsidRPr="00504C32">
        <w:t xml:space="preserve"> </w:t>
      </w:r>
      <w:r w:rsidR="006F3E37" w:rsidRPr="00504C32">
        <w:t>reference</w:t>
      </w:r>
      <w:r w:rsidR="006F3E37" w:rsidRPr="00CD6EE5">
        <w:t xml:space="preserve"> genome</w:t>
      </w:r>
      <w:r w:rsidR="00504C32">
        <w:t xml:space="preserve"> v5)</w:t>
      </w:r>
      <w:r w:rsidR="006F3E37" w:rsidRPr="00CD6EE5">
        <w:t xml:space="preserve"> vis bwa </w:t>
      </w:r>
      <w:r w:rsidR="006F3E37" w:rsidRPr="00CD6EE5">
        <w:rPr>
          <w:i/>
        </w:rPr>
        <w:t>mem</w:t>
      </w:r>
      <w:r w:rsidR="006F3E37" w:rsidRPr="00CD6EE5">
        <w:t xml:space="preserve"> (Li and Durbin, 2010)</w:t>
      </w:r>
      <w:r w:rsidR="00504C32">
        <w:t xml:space="preserve">. Details of subsequent quality control, </w:t>
      </w:r>
      <w:proofErr w:type="spellStart"/>
      <w:r w:rsidR="00504C32">
        <w:t>Kmer</w:t>
      </w:r>
      <w:proofErr w:type="spellEnd"/>
      <w:r w:rsidR="00504C32">
        <w:t xml:space="preserve"> counting and genotype calling are described </w:t>
      </w:r>
      <w:r w:rsidR="00504C32" w:rsidRPr="00F22CD2">
        <w:t>in Lovell (readme. 2019)</w:t>
      </w:r>
      <w:r w:rsidR="006F3E37" w:rsidRPr="00F22CD2">
        <w:t>.</w:t>
      </w:r>
      <w:r w:rsidR="00CD6EE5" w:rsidRPr="00F22CD2">
        <w:t xml:space="preserve"> Map</w:t>
      </w:r>
      <w:r w:rsidR="00143A42" w:rsidRPr="00CD6EE5">
        <w:t xml:space="preserve"> polishing and fine-scale reordering </w:t>
      </w:r>
      <w:r w:rsidR="00CD6EE5" w:rsidRPr="00CD6EE5">
        <w:t xml:space="preserve">results in </w:t>
      </w:r>
      <w:r w:rsidR="007E02DC" w:rsidRPr="00CD6EE5">
        <w:t xml:space="preserve">a finalized </w:t>
      </w:r>
      <w:r w:rsidR="00550678">
        <w:t xml:space="preserve">cross-pollinated </w:t>
      </w:r>
      <w:r w:rsidR="007E02DC" w:rsidRPr="00CD6EE5">
        <w:t xml:space="preserve">map with </w:t>
      </w:r>
      <w:r w:rsidR="00877D36">
        <w:t>1411</w:t>
      </w:r>
      <w:r w:rsidR="007E02DC" w:rsidRPr="00CD6EE5">
        <w:t xml:space="preserve"> markers</w:t>
      </w:r>
      <w:r w:rsidR="00504C32">
        <w:t xml:space="preserve">, </w:t>
      </w:r>
      <w:r w:rsidR="00877D36">
        <w:t>averaged as 1cM between markers</w:t>
      </w:r>
      <w:r w:rsidR="001049D7">
        <w:t xml:space="preserve"> </w:t>
      </w:r>
      <w:r w:rsidR="00550678">
        <w:t>across 18 linkage groups</w:t>
      </w:r>
      <w:r w:rsidR="007E02DC" w:rsidRPr="00CD6EE5">
        <w:t>.</w:t>
      </w:r>
      <w:r w:rsidR="007E02DC">
        <w:t xml:space="preserve"> </w:t>
      </w:r>
      <w:r w:rsidR="00D24A84">
        <w:t xml:space="preserve">For computational efficiency in G x E analysis, the genetic map was reduced into 738 markers, averaged to 2cM between markers. </w:t>
      </w:r>
    </w:p>
    <w:p w14:paraId="63C5D423" w14:textId="250B588D" w:rsidR="00B05A7A" w:rsidRPr="00B05A7A" w:rsidRDefault="00B05A7A"/>
    <w:p w14:paraId="508E95D0" w14:textId="0E71D122" w:rsidR="001C399A" w:rsidRDefault="001C399A">
      <w:pPr>
        <w:rPr>
          <w:b/>
        </w:rPr>
      </w:pPr>
      <w:r w:rsidRPr="007E02DC">
        <w:rPr>
          <w:b/>
        </w:rPr>
        <w:t xml:space="preserve">Heritability </w:t>
      </w:r>
      <w:r w:rsidR="00B732C6">
        <w:rPr>
          <w:b/>
        </w:rPr>
        <w:t>and genetic correlation</w:t>
      </w:r>
    </w:p>
    <w:p w14:paraId="234625FC" w14:textId="724E70C6" w:rsidR="007E02DC" w:rsidRPr="007E02DC" w:rsidRDefault="00D71E75">
      <w:r>
        <w:t xml:space="preserve">Narrow-sense heritability </w:t>
      </w:r>
      <w:r w:rsidR="000B29B9">
        <w:t>(</w:t>
      </w:r>
      <w:r w:rsidR="000B29B9" w:rsidRPr="00B732C6">
        <w:rPr>
          <w:i/>
        </w:rPr>
        <w:t>h</w:t>
      </w:r>
      <w:r w:rsidR="000B29B9" w:rsidRPr="00B732C6">
        <w:rPr>
          <w:i/>
          <w:vertAlign w:val="subscript"/>
        </w:rPr>
        <w:t>2</w:t>
      </w:r>
      <w:r w:rsidR="000B29B9">
        <w:t xml:space="preserve">) </w:t>
      </w:r>
      <w:r w:rsidR="00B732C6">
        <w:t xml:space="preserve">for each trait </w:t>
      </w:r>
      <w:r w:rsidR="000402FC">
        <w:t xml:space="preserve">at each environment </w:t>
      </w:r>
      <w:r w:rsidR="00B732C6">
        <w:t>and genetic correlation (</w:t>
      </w:r>
      <w:proofErr w:type="spellStart"/>
      <w:r w:rsidR="00B732C6" w:rsidRPr="00B732C6">
        <w:rPr>
          <w:i/>
        </w:rPr>
        <w:t>r</w:t>
      </w:r>
      <w:r w:rsidR="00B732C6" w:rsidRPr="00B732C6">
        <w:rPr>
          <w:i/>
          <w:vertAlign w:val="subscript"/>
        </w:rPr>
        <w:t>g</w:t>
      </w:r>
      <w:proofErr w:type="spellEnd"/>
      <w:r w:rsidR="00B732C6">
        <w:t xml:space="preserve">) among traits </w:t>
      </w:r>
      <w:r w:rsidR="000402FC">
        <w:t xml:space="preserve">across environments </w:t>
      </w:r>
      <w:r w:rsidR="00B732C6">
        <w:t xml:space="preserve">were estimated using the additive </w:t>
      </w:r>
      <w:r w:rsidR="000402FC">
        <w:t xml:space="preserve">kinship </w:t>
      </w:r>
      <w:r w:rsidR="00B732C6">
        <w:t>matrix based on marker genotyp</w:t>
      </w:r>
      <w:r w:rsidR="000402FC">
        <w:t>ic information</w:t>
      </w:r>
      <w:r w:rsidR="00B732C6">
        <w:t>.</w:t>
      </w:r>
      <w:r w:rsidR="000B29B9">
        <w:t xml:space="preserve"> </w:t>
      </w:r>
      <w:r w:rsidR="00B732C6">
        <w:t xml:space="preserve">The process was accomplished </w:t>
      </w:r>
      <w:r w:rsidR="000402FC">
        <w:t xml:space="preserve">via </w:t>
      </w:r>
      <w:r w:rsidR="00B732C6">
        <w:t>the ‘</w:t>
      </w:r>
      <w:proofErr w:type="spellStart"/>
      <w:r w:rsidR="00B732C6">
        <w:t>sommer</w:t>
      </w:r>
      <w:proofErr w:type="spellEnd"/>
      <w:r w:rsidR="00B732C6">
        <w:t>’ package</w:t>
      </w:r>
      <w:r w:rsidR="00552D66">
        <w:t xml:space="preserve"> (Covarrubias-</w:t>
      </w:r>
      <w:proofErr w:type="spellStart"/>
      <w:r w:rsidR="00552D66">
        <w:t>Pazaran</w:t>
      </w:r>
      <w:proofErr w:type="spellEnd"/>
      <w:r w:rsidR="00552D66">
        <w:t>, 2016)</w:t>
      </w:r>
      <w:r w:rsidR="00B732C6">
        <w:t xml:space="preserve"> in R</w:t>
      </w:r>
      <w:r w:rsidR="00552D66">
        <w:t xml:space="preserve"> (2018)</w:t>
      </w:r>
      <w:r w:rsidR="00B732C6">
        <w:t xml:space="preserve">. </w:t>
      </w:r>
      <w:r w:rsidR="000137C4">
        <w:t>B</w:t>
      </w:r>
      <w:r w:rsidR="00552D66">
        <w:t>riefly, multivariate mixed model (</w:t>
      </w:r>
      <w:proofErr w:type="spellStart"/>
      <w:r w:rsidR="00552D66">
        <w:t>mmer</w:t>
      </w:r>
      <w:proofErr w:type="spellEnd"/>
      <w:r w:rsidR="00552D66">
        <w:t>) takes the kinship matrix and other random incidence matrix to estimate the variance components for each trait under each environment</w:t>
      </w:r>
      <w:r w:rsidR="000402FC">
        <w:t xml:space="preserve"> (i.e., heritability), or among traits across environments (i.e., genetic correlation</w:t>
      </w:r>
      <w:r w:rsidR="00721813">
        <w:t xml:space="preserve"> or </w:t>
      </w:r>
      <w:proofErr w:type="spellStart"/>
      <w:r w:rsidR="00721813" w:rsidRPr="00DB1F5D">
        <w:rPr>
          <w:i/>
        </w:rPr>
        <w:t>r</w:t>
      </w:r>
      <w:r w:rsidR="00721813" w:rsidRPr="00DB1F5D">
        <w:rPr>
          <w:i/>
          <w:vertAlign w:val="subscript"/>
        </w:rPr>
        <w:t>g</w:t>
      </w:r>
      <w:proofErr w:type="spellEnd"/>
      <w:r w:rsidR="000402FC">
        <w:t>)</w:t>
      </w:r>
      <w:r w:rsidR="00552D66">
        <w:t>. Information</w:t>
      </w:r>
      <w:r w:rsidR="00B732C6">
        <w:t xml:space="preserve"> on the </w:t>
      </w:r>
      <w:r w:rsidR="000402FC">
        <w:t>‘</w:t>
      </w:r>
      <w:proofErr w:type="spellStart"/>
      <w:r w:rsidR="00B732C6">
        <w:t>sommer</w:t>
      </w:r>
      <w:proofErr w:type="spellEnd"/>
      <w:r w:rsidR="000402FC">
        <w:t>’</w:t>
      </w:r>
      <w:r w:rsidR="00B732C6">
        <w:t xml:space="preserve"> package and application in </w:t>
      </w:r>
      <w:r w:rsidR="00552D66">
        <w:t>our other</w:t>
      </w:r>
      <w:r w:rsidR="00B732C6">
        <w:t xml:space="preserve"> study </w:t>
      </w:r>
      <w:r w:rsidR="00552D66">
        <w:t>are detailed in Covarrubias-</w:t>
      </w:r>
      <w:proofErr w:type="spellStart"/>
      <w:r w:rsidR="00552D66">
        <w:t>Pazaran</w:t>
      </w:r>
      <w:proofErr w:type="spellEnd"/>
      <w:r w:rsidR="00552D66">
        <w:t xml:space="preserve"> (2016) and Lowry et al. (2019).</w:t>
      </w:r>
    </w:p>
    <w:p w14:paraId="37311979" w14:textId="347058EB" w:rsidR="001C399A" w:rsidRDefault="001A1C54">
      <w:pPr>
        <w:rPr>
          <w:b/>
        </w:rPr>
      </w:pPr>
      <w:r w:rsidRPr="00552D66">
        <w:rPr>
          <w:b/>
        </w:rPr>
        <w:t xml:space="preserve">Multienvironment </w:t>
      </w:r>
      <w:r w:rsidR="001C399A" w:rsidRPr="00552D66">
        <w:rPr>
          <w:b/>
        </w:rPr>
        <w:t>QTL mapping</w:t>
      </w:r>
    </w:p>
    <w:p w14:paraId="231EEF75" w14:textId="46371BBF" w:rsidR="001C399A" w:rsidRDefault="00DC74C4">
      <w:r>
        <w:t xml:space="preserve">Details of the mapping scheme and application in the outbred four-way population are descried in </w:t>
      </w:r>
      <w:proofErr w:type="spellStart"/>
      <w:r>
        <w:t>Malosetti</w:t>
      </w:r>
      <w:proofErr w:type="spellEnd"/>
      <w:r>
        <w:t xml:space="preserve"> et al. (2013) and Lowry et al. (2019). In brief, </w:t>
      </w:r>
      <w:r w:rsidR="00793608">
        <w:t xml:space="preserve">‘Single trait under multiple environments’ QTL mapping for each panicle trait </w:t>
      </w:r>
      <w:r w:rsidR="00550678">
        <w:t xml:space="preserve">in the cross-pollinated (CP) family </w:t>
      </w:r>
      <w:r w:rsidR="00D24A84">
        <w:t xml:space="preserve">was implanted in </w:t>
      </w:r>
      <w:proofErr w:type="spellStart"/>
      <w:r w:rsidR="00D24A84">
        <w:t>Genstat</w:t>
      </w:r>
      <w:proofErr w:type="spellEnd"/>
      <w:r w:rsidR="00D24A84">
        <w:t xml:space="preserve"> </w:t>
      </w:r>
      <w:r w:rsidR="00793608">
        <w:t>(VSN International, 2017</w:t>
      </w:r>
      <w:r w:rsidR="001A12DC">
        <w:t xml:space="preserve">The QTL approach with CP family </w:t>
      </w:r>
      <w:r w:rsidR="00D24A84">
        <w:t xml:space="preserve">resulted in </w:t>
      </w:r>
      <w:r w:rsidR="001A12DC">
        <w:t xml:space="preserve">four possible QTL alleles designated </w:t>
      </w:r>
      <w:r w:rsidR="001A12DC" w:rsidRPr="008060AD">
        <w:rPr>
          <w:i/>
        </w:rPr>
        <w:t>A</w:t>
      </w:r>
      <w:r w:rsidR="001A12DC">
        <w:t xml:space="preserve"> and </w:t>
      </w:r>
      <w:r w:rsidR="001A12DC" w:rsidRPr="008060AD">
        <w:rPr>
          <w:i/>
        </w:rPr>
        <w:t>B</w:t>
      </w:r>
      <w:r w:rsidR="001A12DC">
        <w:t xml:space="preserve"> corresponding to marker alleles of the first pair of grandparents (AP13 x DAC) and QTL alleles </w:t>
      </w:r>
      <w:r w:rsidR="001A12DC" w:rsidRPr="008060AD">
        <w:rPr>
          <w:i/>
        </w:rPr>
        <w:t>C</w:t>
      </w:r>
      <w:r w:rsidR="001A12DC">
        <w:t xml:space="preserve"> and </w:t>
      </w:r>
      <w:r w:rsidR="001A12DC" w:rsidRPr="008060AD">
        <w:rPr>
          <w:i/>
        </w:rPr>
        <w:t>D</w:t>
      </w:r>
      <w:r w:rsidR="001A12DC">
        <w:t xml:space="preserve"> corresponding to marker alleles of the second pair of grandparents (WBC x VS16). </w:t>
      </w:r>
      <w:r w:rsidR="00793608">
        <w:t xml:space="preserve"> a multienvironment mixed model </w:t>
      </w:r>
      <w:r>
        <w:t xml:space="preserve">was fit for each trait as shown </w:t>
      </w:r>
      <w:r w:rsidR="00793608">
        <w:t>in Eq. 1:</w:t>
      </w:r>
    </w:p>
    <w:p w14:paraId="2A9547E1" w14:textId="4B303C29" w:rsidR="00CE062E" w:rsidRDefault="00DC74C4" w:rsidP="00C70A70">
      <w:pPr>
        <w:jc w:val="center"/>
        <w:rPr>
          <w:rFonts w:eastAsiaTheme="minorEastAsia"/>
        </w:rPr>
      </w:pPr>
      <w:r>
        <w:rPr>
          <w:rFonts w:eastAsiaTheme="minorEastAsia"/>
        </w:rPr>
        <w:t xml:space="preserve">                                           </w:t>
      </w:r>
      <m:oMath>
        <m:r>
          <w:rPr>
            <w:rFonts w:ascii="Cambria Math" w:hAnsi="Cambria Math"/>
          </w:rPr>
          <m:t xml:space="preserve">trait=µ+E+ </m:t>
        </m:r>
        <m:nary>
          <m:naryPr>
            <m:chr m:val="∑"/>
            <m:limLoc m:val="undOvr"/>
            <m:subHide m:val="1"/>
            <m:supHide m:val="1"/>
            <m:ctrlPr>
              <w:rPr>
                <w:rFonts w:ascii="Cambria Math" w:hAnsi="Cambria Math"/>
                <w:i/>
              </w:rPr>
            </m:ctrlPr>
          </m:naryPr>
          <m:sub/>
          <m:sup/>
          <m:e>
            <m:r>
              <w:rPr>
                <w:rFonts w:ascii="Cambria Math" w:hAnsi="Cambria Math"/>
              </w:rPr>
              <m:t>QTL</m:t>
            </m:r>
          </m:e>
        </m:nary>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QTL x E</m:t>
                </m:r>
              </m:e>
            </m:d>
          </m:e>
        </m:nary>
        <m:r>
          <w:rPr>
            <w:rFonts w:ascii="Cambria Math" w:hAnsi="Cambria Math"/>
          </w:rPr>
          <m:t>+e</m:t>
        </m:r>
      </m:oMath>
      <w:r w:rsidR="00CE062E">
        <w:rPr>
          <w:rFonts w:eastAsiaTheme="minorEastAsia"/>
        </w:rPr>
        <w:t>,</w:t>
      </w:r>
      <w:r w:rsidR="000402FC">
        <w:rPr>
          <w:rFonts w:eastAsiaTheme="minorEastAsia"/>
        </w:rPr>
        <w:t xml:space="preserve"> </w:t>
      </w:r>
      <w:r>
        <w:rPr>
          <w:rFonts w:eastAsiaTheme="minorEastAsia"/>
        </w:rPr>
        <w:t xml:space="preserve">                                    E</w:t>
      </w:r>
      <w:r w:rsidR="000402FC">
        <w:rPr>
          <w:rFonts w:eastAsiaTheme="minorEastAsia"/>
        </w:rPr>
        <w:t xml:space="preserve">q. </w:t>
      </w:r>
      <w:r w:rsidR="00CE062E">
        <w:rPr>
          <w:rFonts w:eastAsiaTheme="minorEastAsia"/>
        </w:rPr>
        <w:t>1</w:t>
      </w:r>
      <w:r>
        <w:rPr>
          <w:rFonts w:eastAsiaTheme="minorEastAsia"/>
        </w:rPr>
        <w:t>,</w:t>
      </w:r>
    </w:p>
    <w:p w14:paraId="311E7C55" w14:textId="2F0D7C04" w:rsidR="005619A0" w:rsidRDefault="00DC74C4" w:rsidP="00F45DE2">
      <w:pPr>
        <w:autoSpaceDE w:val="0"/>
        <w:autoSpaceDN w:val="0"/>
        <w:adjustRightInd w:val="0"/>
        <w:spacing w:after="0" w:line="240" w:lineRule="auto"/>
      </w:pPr>
      <w:r>
        <w:t>w</w:t>
      </w:r>
      <w:r w:rsidR="00CE062E" w:rsidRPr="00CE062E">
        <w:t xml:space="preserve">here </w:t>
      </w:r>
      <w:r w:rsidR="00CE062E" w:rsidRPr="00CE062E">
        <w:rPr>
          <w:i/>
        </w:rPr>
        <w:t>μ</w:t>
      </w:r>
      <w:r w:rsidR="00CE062E" w:rsidRPr="00CE062E">
        <w:t xml:space="preserve"> is the population mean; </w:t>
      </w:r>
      <w:r w:rsidR="00CE062E" w:rsidRPr="00B627E5">
        <w:rPr>
          <w:i/>
        </w:rPr>
        <w:t>E</w:t>
      </w:r>
      <w:r w:rsidR="00CE062E" w:rsidRPr="00CE062E">
        <w:t xml:space="preserve"> represents the environment effect;</w:t>
      </w:r>
      <w:r w:rsidR="00CE062E">
        <w:t xml:space="preserve"> </w:t>
      </w:r>
      <m:oMath>
        <m:nary>
          <m:naryPr>
            <m:chr m:val="∑"/>
            <m:limLoc m:val="undOvr"/>
            <m:subHide m:val="1"/>
            <m:supHide m:val="1"/>
            <m:ctrlPr>
              <w:rPr>
                <w:rFonts w:ascii="Cambria Math" w:hAnsi="Cambria Math"/>
                <w:i/>
              </w:rPr>
            </m:ctrlPr>
          </m:naryPr>
          <m:sub/>
          <m:sup/>
          <m:e>
            <m:r>
              <w:rPr>
                <w:rFonts w:ascii="Cambria Math" w:hAnsi="Cambria Math"/>
              </w:rPr>
              <m:t>QTL</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a2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d</m:t>
                </m:r>
              </m:sup>
            </m:sSup>
            <m:r>
              <w:rPr>
                <w:rFonts w:ascii="Cambria Math" w:hAnsi="Cambria Math"/>
              </w:rPr>
              <m:t>)</m:t>
            </m:r>
          </m:e>
        </m:nary>
      </m:oMath>
      <w:r w:rsidR="00CE062E" w:rsidRPr="00CE062E">
        <w:t>,</w:t>
      </w:r>
      <w:r w:rsidR="00CE062E">
        <w:t xml:space="preserve"> </w:t>
      </w:r>
      <w:r w:rsidR="00B627E5">
        <w:t>denoting</w:t>
      </w:r>
      <w:r w:rsidR="00CE062E" w:rsidRPr="00CE062E">
        <w:t xml:space="preserve"> the total effect</w:t>
      </w:r>
      <w:r w:rsidR="00B627E5">
        <w:t xml:space="preserve"> from the </w:t>
      </w:r>
      <w:r w:rsidR="00CE062E" w:rsidRPr="00CE062E">
        <w:t xml:space="preserve">additive effect from the first </w:t>
      </w:r>
      <w:r w:rsidR="0070126B">
        <w:t>grand</w:t>
      </w:r>
      <w:r w:rsidR="00CE062E" w:rsidRPr="00CE062E">
        <w:t>parent</w:t>
      </w:r>
      <w:r w:rsidR="00B627E5">
        <w:t xml:space="preserve"> (</w:t>
      </w:r>
      <w:r w:rsidR="001A12DC">
        <w:t xml:space="preserve">i.e., the difference between </w:t>
      </w:r>
      <w:r w:rsidR="001A12DC" w:rsidRPr="008060AD">
        <w:rPr>
          <w:i/>
        </w:rPr>
        <w:t>A</w:t>
      </w:r>
      <w:r w:rsidR="001A12DC">
        <w:t xml:space="preserve"> and </w:t>
      </w:r>
      <w:r w:rsidR="001A12DC" w:rsidRPr="008060AD">
        <w:rPr>
          <w:i/>
        </w:rPr>
        <w:t>B</w:t>
      </w:r>
      <w:r w:rsidR="001A12DC">
        <w:t xml:space="preserve"> alleles, </w:t>
      </w:r>
      <m:oMath>
        <m:sSup>
          <m:sSupPr>
            <m:ctrlPr>
              <w:rPr>
                <w:rFonts w:ascii="Cambria Math" w:hAnsi="Cambria Math"/>
                <w:i/>
              </w:rPr>
            </m:ctrlPr>
          </m:sSupPr>
          <m:e>
            <m:r>
              <w:rPr>
                <w:rFonts w:ascii="Cambria Math" w:hAnsi="Cambria Math"/>
              </w:rPr>
              <m:t>a</m:t>
            </m:r>
          </m:e>
          <m:sup>
            <m:r>
              <w:rPr>
                <w:rFonts w:ascii="Cambria Math" w:hAnsi="Cambria Math"/>
              </w:rPr>
              <m:t>a1</m:t>
            </m:r>
          </m:sup>
        </m:sSup>
        <m:r>
          <w:rPr>
            <w:rFonts w:ascii="Cambria Math" w:hAnsi="Cambria Math"/>
          </w:rPr>
          <m:t>)</m:t>
        </m:r>
      </m:oMath>
      <w:r w:rsidR="00CE062E" w:rsidRPr="00CE062E">
        <w:t>,</w:t>
      </w:r>
      <w:r w:rsidR="00CE062E">
        <w:t xml:space="preserve"> </w:t>
      </w:r>
      <w:r w:rsidR="00CE062E" w:rsidRPr="00CE062E">
        <w:t xml:space="preserve">the second </w:t>
      </w:r>
      <w:r w:rsidR="0070126B">
        <w:t>grand</w:t>
      </w:r>
      <w:r w:rsidR="00CE062E" w:rsidRPr="00CE062E">
        <w:t xml:space="preserve">parent </w:t>
      </w:r>
      <w:r w:rsidR="00B627E5">
        <w:t>(</w:t>
      </w:r>
      <w:r w:rsidR="001A12DC">
        <w:t xml:space="preserve">i.e., the difference between </w:t>
      </w:r>
      <w:r w:rsidR="001A12DC" w:rsidRPr="008060AD">
        <w:rPr>
          <w:i/>
        </w:rPr>
        <w:t>C</w:t>
      </w:r>
      <w:r w:rsidR="001A12DC">
        <w:t xml:space="preserve"> and </w:t>
      </w:r>
      <w:r w:rsidR="001A12DC" w:rsidRPr="008060AD">
        <w:rPr>
          <w:i/>
        </w:rPr>
        <w:t>D</w:t>
      </w:r>
      <w:r w:rsidR="001A12DC">
        <w:t xml:space="preserve"> alleles, </w:t>
      </w:r>
      <m:oMath>
        <m:sSup>
          <m:sSupPr>
            <m:ctrlPr>
              <w:rPr>
                <w:rFonts w:ascii="Cambria Math" w:hAnsi="Cambria Math"/>
                <w:i/>
              </w:rPr>
            </m:ctrlPr>
          </m:sSupPr>
          <m:e>
            <m:r>
              <w:rPr>
                <w:rFonts w:ascii="Cambria Math" w:hAnsi="Cambria Math"/>
              </w:rPr>
              <m:t>a</m:t>
            </m:r>
          </m:e>
          <m:sup>
            <m:r>
              <w:rPr>
                <w:rFonts w:ascii="Cambria Math" w:hAnsi="Cambria Math"/>
              </w:rPr>
              <m:t>a2</m:t>
            </m:r>
          </m:sup>
        </m:sSup>
        <m:r>
          <w:rPr>
            <w:rFonts w:ascii="Cambria Math" w:hAnsi="Cambria Math"/>
          </w:rPr>
          <m:t>)</m:t>
        </m:r>
      </m:oMath>
      <w:r w:rsidR="00CE062E" w:rsidRPr="00CE062E">
        <w:t>,</w:t>
      </w:r>
      <w:r w:rsidR="00CE062E">
        <w:t xml:space="preserve"> </w:t>
      </w:r>
      <w:r w:rsidR="00CE062E" w:rsidRPr="00CE062E">
        <w:t>and the dominance effect</w:t>
      </w:r>
      <w:r w:rsidR="00B627E5">
        <w:t>(</w:t>
      </w:r>
      <w:r w:rsidR="001A12DC">
        <w:rPr>
          <w:rFonts w:eastAsiaTheme="minorEastAsia"/>
        </w:rPr>
        <w:t xml:space="preserve">i.e., the </w:t>
      </w:r>
      <w:proofErr w:type="spellStart"/>
      <w:r w:rsidR="001A12DC">
        <w:rPr>
          <w:rFonts w:eastAsiaTheme="minorEastAsia"/>
        </w:rPr>
        <w:t>intralocus</w:t>
      </w:r>
      <w:proofErr w:type="spellEnd"/>
      <w:r w:rsidR="001A12DC">
        <w:rPr>
          <w:rFonts w:eastAsiaTheme="minorEastAsia"/>
        </w:rPr>
        <w:t xml:space="preserve"> interaction, </w:t>
      </w:r>
      <m:oMath>
        <m:sSup>
          <m:sSupPr>
            <m:ctrlPr>
              <w:rPr>
                <w:rFonts w:ascii="Cambria Math" w:hAnsi="Cambria Math"/>
                <w:i/>
              </w:rPr>
            </m:ctrlPr>
          </m:sSupPr>
          <m:e>
            <m:r>
              <w:rPr>
                <w:rFonts w:ascii="Cambria Math" w:hAnsi="Cambria Math"/>
              </w:rPr>
              <m:t>a</m:t>
            </m:r>
          </m:e>
          <m:sup>
            <m:r>
              <w:rPr>
                <w:rFonts w:ascii="Cambria Math" w:hAnsi="Cambria Math"/>
              </w:rPr>
              <m:t>d</m:t>
            </m:r>
          </m:sup>
        </m:sSup>
        <m:r>
          <w:rPr>
            <w:rFonts w:ascii="Cambria Math" w:hAnsi="Cambria Math"/>
          </w:rPr>
          <m:t>)</m:t>
        </m:r>
      </m:oMath>
      <w:r w:rsidR="00CE062E" w:rsidRPr="00CE062E">
        <w:t xml:space="preserve">; </w:t>
      </w:r>
      <w:r w:rsidR="00B627E5">
        <w:t xml:space="preserve"> </w:t>
      </w:r>
      <m:oMath>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QTL x E</m:t>
                </m:r>
              </m:e>
            </m:d>
            <m:r>
              <w:rPr>
                <w:rFonts w:ascii="Cambria Math" w:hAnsi="Cambria Math"/>
              </w:rPr>
              <m:t xml:space="preserve"> </m:t>
            </m:r>
          </m:e>
        </m:nary>
      </m:oMath>
      <w:r w:rsidR="004F669B">
        <w:t xml:space="preserve">represents the </w:t>
      </w:r>
      <w:r w:rsidR="00CE062E" w:rsidRPr="00CE062E">
        <w:t>QTL × environment</w:t>
      </w:r>
      <w:r w:rsidR="00CE062E">
        <w:t xml:space="preserve"> </w:t>
      </w:r>
      <w:r w:rsidR="00CE062E" w:rsidRPr="00CE062E">
        <w:t>interactions;</w:t>
      </w:r>
      <w:r w:rsidR="00CE062E">
        <w:t xml:space="preserve"> </w:t>
      </w:r>
      <w:r w:rsidR="00CE062E" w:rsidRPr="00CE062E">
        <w:t xml:space="preserve">and </w:t>
      </w:r>
      <w:r w:rsidR="00CE062E" w:rsidRPr="00B627E5">
        <w:rPr>
          <w:i/>
        </w:rPr>
        <w:t>e</w:t>
      </w:r>
      <w:r w:rsidR="00CE062E" w:rsidRPr="00CE062E">
        <w:t xml:space="preserve"> represents the error term that was modeled by </w:t>
      </w:r>
      <w:r w:rsidR="00B627E5">
        <w:t>an</w:t>
      </w:r>
      <w:r w:rsidR="00CE062E" w:rsidRPr="00CE062E">
        <w:t xml:space="preserve"> unstructured</w:t>
      </w:r>
      <w:r w:rsidR="00CE062E">
        <w:t xml:space="preserve"> </w:t>
      </w:r>
      <w:r w:rsidR="00CE062E" w:rsidRPr="00CE062E">
        <w:t xml:space="preserve">variance–covariance </w:t>
      </w:r>
      <w:r w:rsidR="00CE062E" w:rsidRPr="00CE062E">
        <w:lastRenderedPageBreak/>
        <w:t>matrix.</w:t>
      </w:r>
      <w:r w:rsidR="00B627E5">
        <w:t xml:space="preserve"> The unstructured model was used to specify the data structure in the genome-wide QTL scan of simple interval mapping (SIM) and composite interval mapping (CIM). </w:t>
      </w:r>
      <w:r w:rsidR="00CE062E" w:rsidRPr="00CE062E">
        <w:t>A backward selection procedure was</w:t>
      </w:r>
      <w:r w:rsidR="00CE062E">
        <w:t xml:space="preserve"> </w:t>
      </w:r>
      <w:r w:rsidR="00CE062E" w:rsidRPr="00CE062E">
        <w:t>used to retain significant fixed terms (</w:t>
      </w:r>
      <w:r w:rsidRPr="00C70A70">
        <w:rPr>
          <w:i/>
        </w:rPr>
        <w:t>p</w:t>
      </w:r>
      <w:r w:rsidR="00CE062E" w:rsidRPr="00CE062E">
        <w:t>&lt; 0.05)</w:t>
      </w:r>
      <w:r w:rsidR="00B627E5">
        <w:t xml:space="preserve"> after three consecutive runs of CIM to confirm stability of QTLs</w:t>
      </w:r>
      <w:r w:rsidR="00CE062E" w:rsidRPr="00CE062E">
        <w:t>.</w:t>
      </w:r>
      <w:r w:rsidR="00F0096B">
        <w:t xml:space="preserve"> </w:t>
      </w:r>
      <w:r w:rsidR="00C70A70">
        <w:t xml:space="preserve">The QTLs with highest LOD peaks were considered as the most significant QTLs, and the Flank markers with LOD drop of 1.5 around the most significant QTLs were considered as confidence interval for the QTL peaks. </w:t>
      </w:r>
      <w:r w:rsidR="00D24A84" w:rsidRPr="00D24A84">
        <w:t xml:space="preserve"> </w:t>
      </w:r>
    </w:p>
    <w:p w14:paraId="701B4714" w14:textId="77777777" w:rsidR="0070126B" w:rsidRDefault="0070126B" w:rsidP="00F45DE2">
      <w:pPr>
        <w:autoSpaceDE w:val="0"/>
        <w:autoSpaceDN w:val="0"/>
        <w:adjustRightInd w:val="0"/>
        <w:spacing w:after="0" w:line="240" w:lineRule="auto"/>
      </w:pPr>
    </w:p>
    <w:p w14:paraId="1205595E" w14:textId="55D946B0" w:rsidR="002F2E5D" w:rsidRPr="004973A3" w:rsidRDefault="00C504F2" w:rsidP="004F70B0">
      <w:pPr>
        <w:rPr>
          <w:b/>
        </w:rPr>
      </w:pPr>
      <w:r w:rsidRPr="004973A3">
        <w:rPr>
          <w:b/>
        </w:rPr>
        <w:t>Evaluation</w:t>
      </w:r>
      <w:r w:rsidR="004F70B0" w:rsidRPr="004973A3">
        <w:rPr>
          <w:b/>
        </w:rPr>
        <w:t xml:space="preserve"> of </w:t>
      </w:r>
      <w:r w:rsidR="00697D97">
        <w:rPr>
          <w:b/>
        </w:rPr>
        <w:t xml:space="preserve">the </w:t>
      </w:r>
      <w:r w:rsidR="00697D97" w:rsidRPr="00DB1F5D">
        <w:rPr>
          <w:b/>
        </w:rPr>
        <w:t xml:space="preserve">multienvironment mixed model </w:t>
      </w:r>
    </w:p>
    <w:p w14:paraId="73E4ED1F" w14:textId="44169B73" w:rsidR="004F70B0" w:rsidRPr="00B63783" w:rsidRDefault="002F2E5D">
      <w:r w:rsidRPr="002F2E5D">
        <w:t xml:space="preserve">The quality of the predictions from the full Genotype x Environment (G x E) model </w:t>
      </w:r>
      <w:r>
        <w:t xml:space="preserve">(Eq. 1) </w:t>
      </w:r>
      <w:r w:rsidRPr="002F2E5D">
        <w:t xml:space="preserve">was evaluated </w:t>
      </w:r>
      <w:r w:rsidR="00C504F2">
        <w:t>with an independent dataset</w:t>
      </w:r>
      <w:r w:rsidRPr="002F2E5D">
        <w:t xml:space="preserve">. </w:t>
      </w:r>
      <w:r w:rsidR="00C504F2">
        <w:t xml:space="preserve">In three of the 10 field </w:t>
      </w:r>
      <w:r w:rsidR="00C504F2" w:rsidRPr="005D1C23">
        <w:t xml:space="preserve">sites (CLMB, KBSM, </w:t>
      </w:r>
      <w:r w:rsidR="005D1C23" w:rsidRPr="005D1C23">
        <w:t>PKLE</w:t>
      </w:r>
      <w:r w:rsidR="00C504F2" w:rsidRPr="005D1C23">
        <w:t>),</w:t>
      </w:r>
      <w:r w:rsidR="00C504F2">
        <w:t xml:space="preserve"> </w:t>
      </w:r>
      <w:r w:rsidR="000402FC">
        <w:t>370</w:t>
      </w:r>
      <w:r w:rsidR="00C504F2">
        <w:t xml:space="preserve"> extra genotypes were planted and panicle morphology data were collected for these genotypes</w:t>
      </w:r>
      <w:r w:rsidR="00DC74C4">
        <w:t xml:space="preserve"> in 2016</w:t>
      </w:r>
      <w:r w:rsidR="00C504F2">
        <w:t>. With the effort of resequencing of the outbred mapping population, the genotypic information on these extra genotypes was obtained in 201</w:t>
      </w:r>
      <w:r w:rsidR="00DC74C4">
        <w:t>9</w:t>
      </w:r>
      <w:r w:rsidR="00C504F2">
        <w:t xml:space="preserve">. With the genotypic and phenotypic data </w:t>
      </w:r>
      <w:r w:rsidR="00B63783">
        <w:t xml:space="preserve">from the </w:t>
      </w:r>
      <w:r w:rsidR="00F1356B">
        <w:t>370</w:t>
      </w:r>
      <w:r w:rsidR="00B63783">
        <w:t xml:space="preserve"> progenies at </w:t>
      </w:r>
      <w:r w:rsidR="000402FC">
        <w:t xml:space="preserve">the </w:t>
      </w:r>
      <w:r w:rsidR="00B63783">
        <w:t xml:space="preserve">three field sites, the </w:t>
      </w:r>
      <w:r w:rsidRPr="002F2E5D">
        <w:t xml:space="preserve">G x E model </w:t>
      </w:r>
      <w:r w:rsidR="00B63783">
        <w:t>was evaluated by 1) extracting the full model</w:t>
      </w:r>
      <w:r w:rsidRPr="002F2E5D">
        <w:t xml:space="preserve"> from </w:t>
      </w:r>
      <w:proofErr w:type="spellStart"/>
      <w:r w:rsidRPr="002F2E5D">
        <w:t>Genstat</w:t>
      </w:r>
      <w:proofErr w:type="spellEnd"/>
      <w:r w:rsidR="00B63783">
        <w:t>,</w:t>
      </w:r>
      <w:r w:rsidRPr="002F2E5D">
        <w:t xml:space="preserve"> </w:t>
      </w:r>
      <w:r w:rsidR="00B63783">
        <w:t xml:space="preserve">2) </w:t>
      </w:r>
      <w:r w:rsidRPr="002F2E5D">
        <w:t>reconstruct</w:t>
      </w:r>
      <w:r w:rsidR="00B63783">
        <w:t>ing it</w:t>
      </w:r>
      <w:r w:rsidRPr="002F2E5D">
        <w:t xml:space="preserve"> in R</w:t>
      </w:r>
      <w:r w:rsidR="00B63783">
        <w:t xml:space="preserve">, 3) predicting the panicle traits for these genotypes </w:t>
      </w:r>
      <w:r w:rsidR="00F1356B">
        <w:t>at</w:t>
      </w:r>
      <w:r w:rsidR="00B63783">
        <w:t xml:space="preserve"> the</w:t>
      </w:r>
      <w:r w:rsidR="00F1356B">
        <w:t>se</w:t>
      </w:r>
      <w:r w:rsidR="00B63783">
        <w:t xml:space="preserve"> 3 field sites, and 4) comparing the model predictions with field observations. </w:t>
      </w:r>
      <w:r w:rsidR="000402FC">
        <w:t>P</w:t>
      </w:r>
      <w:r w:rsidRPr="002F2E5D">
        <w:t>ercentage of bias (bias%), and the prediction accuracy (</w:t>
      </w:r>
      <w:r w:rsidR="00DC74C4" w:rsidRPr="00C70A70">
        <w:t>r</w:t>
      </w:r>
      <w:r w:rsidR="00DC74C4">
        <w:t xml:space="preserve">, </w:t>
      </w:r>
      <w:r w:rsidR="00DC74C4" w:rsidRPr="00DC74C4">
        <w:t>or</w:t>
      </w:r>
      <w:r w:rsidR="00DC74C4">
        <w:t xml:space="preserve"> correlation coefficient</w:t>
      </w:r>
      <w:r w:rsidRPr="002F2E5D">
        <w:t xml:space="preserve">) between the model predictions and field observations were used as statistical measures for model performance. </w:t>
      </w:r>
    </w:p>
    <w:p w14:paraId="60C025BB" w14:textId="77777777" w:rsidR="000F6763" w:rsidRPr="009B22D2" w:rsidRDefault="000F6763" w:rsidP="000F6763">
      <w:pPr>
        <w:rPr>
          <w:b/>
        </w:rPr>
      </w:pPr>
      <w:r w:rsidRPr="009B22D2">
        <w:rPr>
          <w:b/>
        </w:rPr>
        <w:t>Environmental drivers of G x E interaction</w:t>
      </w:r>
      <w:r>
        <w:rPr>
          <w:b/>
        </w:rPr>
        <w:t>s</w:t>
      </w:r>
    </w:p>
    <w:p w14:paraId="46746467" w14:textId="1CC61054" w:rsidR="000F6763" w:rsidRDefault="000F6763" w:rsidP="000F6763">
      <w:r>
        <w:t>For these QTLs with G x E interactions, the QTL effects were predicted using a generalized linear model (</w:t>
      </w:r>
      <w:proofErr w:type="spellStart"/>
      <w:r>
        <w:t>glm</w:t>
      </w:r>
      <w:proofErr w:type="spellEnd"/>
      <w:r>
        <w:t>) with the mean temperature (</w:t>
      </w:r>
      <w:proofErr w:type="spellStart"/>
      <w:r>
        <w:t>Tmean</w:t>
      </w:r>
      <w:proofErr w:type="spellEnd"/>
      <w:r>
        <w:t>), the total rainfall (Rainfall), and their interaction (</w:t>
      </w:r>
      <w:proofErr w:type="spellStart"/>
      <w:r>
        <w:t>Tmean</w:t>
      </w:r>
      <w:proofErr w:type="spellEnd"/>
      <w:r>
        <w:t>*Rainfall) as predictors as shown in Equation 2.</w:t>
      </w:r>
    </w:p>
    <w:p w14:paraId="7A3CABB7" w14:textId="77777777" w:rsidR="000F6763" w:rsidRDefault="000F6763" w:rsidP="000F6763">
      <w:pPr>
        <w:jc w:val="center"/>
      </w:pPr>
      <w:r>
        <w:t xml:space="preserve">                      </w:t>
      </w:r>
      <w:proofErr w:type="gramStart"/>
      <w:r>
        <w:t>effect</w:t>
      </w:r>
      <w:proofErr w:type="gramEnd"/>
      <w:r>
        <w:t xml:space="preserve"> = </w:t>
      </w:r>
      <w:r>
        <w:rPr>
          <w:rFonts w:cstheme="minorHAnsi"/>
        </w:rPr>
        <w:t>µ</w:t>
      </w:r>
      <w:r>
        <w:t xml:space="preserve"> + </w:t>
      </w:r>
      <w:proofErr w:type="spellStart"/>
      <w:r>
        <w:t>Tmean</w:t>
      </w:r>
      <w:proofErr w:type="spellEnd"/>
      <w:r>
        <w:t xml:space="preserve"> + Rainfall + </w:t>
      </w:r>
      <w:proofErr w:type="spellStart"/>
      <w:r>
        <w:t>Tmean</w:t>
      </w:r>
      <w:proofErr w:type="spellEnd"/>
      <w:r>
        <w:t xml:space="preserve"> * Rainfall,                                                                Eq. (2).</w:t>
      </w:r>
    </w:p>
    <w:p w14:paraId="049485B1" w14:textId="71623AB1" w:rsidR="000F6763" w:rsidRDefault="000F6763" w:rsidP="000F6763">
      <w:pPr>
        <w:rPr>
          <w:b/>
          <w:highlight w:val="yellow"/>
        </w:rPr>
      </w:pPr>
      <w:r>
        <w:t>Significant terms (</w:t>
      </w:r>
      <w:r w:rsidRPr="00751DB5">
        <w:rPr>
          <w:i/>
        </w:rPr>
        <w:t>p</w:t>
      </w:r>
      <w:r>
        <w:t xml:space="preserve"> &lt; 0.05) retained after best subset </w:t>
      </w:r>
      <w:r w:rsidR="00891E2D">
        <w:t xml:space="preserve">selection procedure </w:t>
      </w:r>
      <w:r>
        <w:t>(‘leaps’ and ‘</w:t>
      </w:r>
      <w:proofErr w:type="spellStart"/>
      <w:r>
        <w:t>bestglm</w:t>
      </w:r>
      <w:proofErr w:type="spellEnd"/>
      <w:r>
        <w:t>’ packages in R. Lumley, 2017; McLeod and Xu, 2018; Zhang, 2016) were considered as the environmental factor(s) that interacted with QTLs, resulting in different effects at different sites.</w:t>
      </w:r>
    </w:p>
    <w:p w14:paraId="0B868FAB" w14:textId="0B7CDEB8" w:rsidR="00F42564" w:rsidRPr="009B22D2" w:rsidRDefault="00F42564">
      <w:pPr>
        <w:rPr>
          <w:b/>
        </w:rPr>
      </w:pPr>
      <w:r w:rsidRPr="009B22D2">
        <w:rPr>
          <w:b/>
        </w:rPr>
        <w:t>Candidate gene search</w:t>
      </w:r>
    </w:p>
    <w:p w14:paraId="5078F96E" w14:textId="1DBA8757" w:rsidR="000402FC" w:rsidRDefault="00EA6554">
      <w:r w:rsidRPr="009B22D2">
        <w:t xml:space="preserve">The genes </w:t>
      </w:r>
      <w:r w:rsidR="009530F7" w:rsidRPr="009B22D2">
        <w:t xml:space="preserve">located in the confidence intervals of the QTLs were considered as candidate genes. All candidate genes were compared with </w:t>
      </w:r>
      <w:r w:rsidR="005635A6">
        <w:t xml:space="preserve">the </w:t>
      </w:r>
      <w:r w:rsidR="009530F7" w:rsidRPr="009B22D2">
        <w:t>rice</w:t>
      </w:r>
      <w:r w:rsidR="005635A6">
        <w:t xml:space="preserve"> (v7)</w:t>
      </w:r>
      <w:r w:rsidR="009530F7" w:rsidRPr="009B22D2">
        <w:t xml:space="preserve"> and </w:t>
      </w:r>
      <w:r w:rsidR="009530F7" w:rsidRPr="009B22D2">
        <w:rPr>
          <w:i/>
        </w:rPr>
        <w:t xml:space="preserve">Arabidopsis </w:t>
      </w:r>
      <w:r w:rsidR="009530F7" w:rsidRPr="009B22D2">
        <w:t>annotation databases</w:t>
      </w:r>
      <w:r w:rsidR="005635A6">
        <w:t xml:space="preserve"> (TAIR 10)</w:t>
      </w:r>
      <w:r w:rsidR="009530F7" w:rsidRPr="009B22D2">
        <w:t xml:space="preserve">. </w:t>
      </w:r>
      <w:r w:rsidR="005635A6">
        <w:t xml:space="preserve">The annotation file was accessed on JGI (Joint Genome Institute) </w:t>
      </w:r>
      <w:proofErr w:type="spellStart"/>
      <w:r w:rsidR="005635A6">
        <w:t>Phytozome</w:t>
      </w:r>
      <w:proofErr w:type="spellEnd"/>
      <w:r w:rsidR="005635A6">
        <w:t xml:space="preserve"> 13 website: </w:t>
      </w:r>
      <w:r w:rsidR="0001667B" w:rsidRPr="006D294D">
        <w:t>https://njp-spin.jgi.doe.gov/</w:t>
      </w:r>
      <w:r w:rsidR="005635A6">
        <w:t>.</w:t>
      </w:r>
    </w:p>
    <w:p w14:paraId="3ED72F5C" w14:textId="53D296CC" w:rsidR="00274583" w:rsidRPr="00DB1F5D" w:rsidRDefault="00095526">
      <w:pPr>
        <w:rPr>
          <w:b/>
          <w:sz w:val="28"/>
          <w:szCs w:val="28"/>
        </w:rPr>
      </w:pPr>
      <w:r w:rsidRPr="00DB1F5D">
        <w:rPr>
          <w:b/>
          <w:sz w:val="28"/>
          <w:szCs w:val="28"/>
        </w:rPr>
        <w:t>Results</w:t>
      </w:r>
    </w:p>
    <w:p w14:paraId="7F2F8E9E" w14:textId="2D8334EE" w:rsidR="00095526" w:rsidRPr="00DB1F5D" w:rsidRDefault="009B22D2">
      <w:pPr>
        <w:rPr>
          <w:b/>
        </w:rPr>
      </w:pPr>
      <w:r w:rsidRPr="00DB1F5D">
        <w:rPr>
          <w:b/>
        </w:rPr>
        <w:t xml:space="preserve">Phenotypic variation </w:t>
      </w:r>
      <w:r w:rsidR="000F6763">
        <w:rPr>
          <w:b/>
        </w:rPr>
        <w:t xml:space="preserve">and genetic correlation </w:t>
      </w:r>
    </w:p>
    <w:p w14:paraId="4434DD0B" w14:textId="12099761" w:rsidR="00697D97" w:rsidRDefault="00EF66DC">
      <w:r>
        <w:t>The phenotypic variation</w:t>
      </w:r>
      <w:r w:rsidR="001355CA">
        <w:t xml:space="preserve"> </w:t>
      </w:r>
      <w:r>
        <w:t>of panicle length (LEN in mm), number of primary branches (PRM), and number of secondary branches (SEC) at each site (ordered from south to north) is presented</w:t>
      </w:r>
      <w:r w:rsidR="001355CA">
        <w:t xml:space="preserve"> for the four grandparents and F2 generation</w:t>
      </w:r>
      <w:r>
        <w:t xml:space="preserve"> in Figure 2. </w:t>
      </w:r>
      <w:r w:rsidR="00E35571">
        <w:t>The violin plots disp</w:t>
      </w:r>
      <w:r w:rsidR="00F915A7">
        <w:t>lay approximately normal distribution and transgressive behavior in the F2. Lowland genotypes (AP13 and WBC) always have higher LEN, PRM, and SEC than upland genotypes (DAC and VS16).</w:t>
      </w:r>
      <w:r w:rsidR="0004400D">
        <w:t xml:space="preserve"> </w:t>
      </w:r>
      <w:r w:rsidR="00E85995">
        <w:t>The phenotypic correlation between traits across sites ranges from 0.50 to 0.61 (Figure S1A).</w:t>
      </w:r>
    </w:p>
    <w:p w14:paraId="3ADA0808" w14:textId="77F1129F" w:rsidR="00721813" w:rsidRDefault="000E017D">
      <w:r>
        <w:lastRenderedPageBreak/>
        <w:t xml:space="preserve">The </w:t>
      </w:r>
      <w:r w:rsidR="002B0D7C">
        <w:t>heritability (</w:t>
      </w:r>
      <w:r w:rsidR="00013751" w:rsidRPr="003F02CB">
        <w:rPr>
          <w:i/>
        </w:rPr>
        <w:t>h</w:t>
      </w:r>
      <w:r w:rsidR="00013751" w:rsidRPr="003F02CB">
        <w:rPr>
          <w:i/>
          <w:vertAlign w:val="subscript"/>
        </w:rPr>
        <w:t>2</w:t>
      </w:r>
      <w:r w:rsidR="002B0D7C">
        <w:t xml:space="preserve">) for LEN, PRM and SEC varies by sites. The </w:t>
      </w:r>
      <w:r w:rsidR="002B0D7C" w:rsidRPr="00DB1F5D">
        <w:rPr>
          <w:i/>
        </w:rPr>
        <w:t>h</w:t>
      </w:r>
      <w:r w:rsidR="002B0D7C" w:rsidRPr="00DB1F5D">
        <w:rPr>
          <w:i/>
          <w:vertAlign w:val="subscript"/>
        </w:rPr>
        <w:t>2</w:t>
      </w:r>
      <w:r w:rsidR="002B0D7C">
        <w:t xml:space="preserve"> for LEN ranges from 0.20 to 0.71, </w:t>
      </w:r>
      <w:r w:rsidR="00721813">
        <w:t xml:space="preserve">with an </w:t>
      </w:r>
      <w:r w:rsidR="002B0D7C">
        <w:t>averag</w:t>
      </w:r>
      <w:r w:rsidR="00721813">
        <w:t>e</w:t>
      </w:r>
      <w:r w:rsidR="002B0D7C">
        <w:t xml:space="preserve"> </w:t>
      </w:r>
      <w:r w:rsidR="00721813">
        <w:t>of</w:t>
      </w:r>
      <w:r w:rsidR="002B0D7C">
        <w:t xml:space="preserve"> 0.46 </w:t>
      </w:r>
      <w:r w:rsidR="00721813">
        <w:t>and</w:t>
      </w:r>
      <w:r w:rsidR="002B0D7C">
        <w:t xml:space="preserve"> </w:t>
      </w:r>
      <w:r w:rsidR="00721813">
        <w:t>greater</w:t>
      </w:r>
      <w:r w:rsidR="002B0D7C">
        <w:t xml:space="preserve"> than </w:t>
      </w:r>
      <w:r w:rsidR="00013751">
        <w:t>0.50</w:t>
      </w:r>
      <w:r w:rsidR="00721813">
        <w:t xml:space="preserve"> at 4 sites</w:t>
      </w:r>
      <w:r w:rsidR="002B0D7C">
        <w:t xml:space="preserve">. The </w:t>
      </w:r>
      <w:r w:rsidR="00013751" w:rsidRPr="003F02CB">
        <w:rPr>
          <w:i/>
        </w:rPr>
        <w:t>h</w:t>
      </w:r>
      <w:r w:rsidR="00013751" w:rsidRPr="003F02CB">
        <w:rPr>
          <w:i/>
          <w:vertAlign w:val="subscript"/>
        </w:rPr>
        <w:t>2</w:t>
      </w:r>
      <w:r w:rsidR="002B0D7C">
        <w:t xml:space="preserve"> for PRM is</w:t>
      </w:r>
      <w:r w:rsidR="00013751">
        <w:t xml:space="preserve"> between 0.45 and 0.66 for 9 out of the 10 sites. The </w:t>
      </w:r>
      <w:r w:rsidR="00013751" w:rsidRPr="003F02CB">
        <w:rPr>
          <w:i/>
        </w:rPr>
        <w:t>h</w:t>
      </w:r>
      <w:r w:rsidR="00013751" w:rsidRPr="003F02CB">
        <w:rPr>
          <w:i/>
          <w:vertAlign w:val="subscript"/>
        </w:rPr>
        <w:t>2</w:t>
      </w:r>
      <w:r w:rsidR="00013751">
        <w:t xml:space="preserve"> for SEC </w:t>
      </w:r>
      <w:r w:rsidR="00DC0B14">
        <w:t xml:space="preserve">ranges from 0.02 to 0.62, </w:t>
      </w:r>
      <w:r w:rsidR="00013751">
        <w:t xml:space="preserve">averages at 0.37, with </w:t>
      </w:r>
      <w:r w:rsidR="00013751" w:rsidRPr="003F02CB">
        <w:rPr>
          <w:i/>
        </w:rPr>
        <w:t>h</w:t>
      </w:r>
      <w:r w:rsidR="00013751" w:rsidRPr="003F02CB">
        <w:rPr>
          <w:i/>
          <w:vertAlign w:val="subscript"/>
        </w:rPr>
        <w:t>2</w:t>
      </w:r>
      <w:r w:rsidR="00013751">
        <w:t xml:space="preserve"> </w:t>
      </w:r>
      <w:r w:rsidR="00721813">
        <w:t xml:space="preserve">at </w:t>
      </w:r>
      <w:r w:rsidR="00DC0B14">
        <w:t xml:space="preserve">one site close to zero and </w:t>
      </w:r>
      <w:r w:rsidR="00721813">
        <w:t xml:space="preserve">4 sites </w:t>
      </w:r>
      <w:r w:rsidR="00013751">
        <w:t>around 0.50 (Figure S1B).</w:t>
      </w:r>
      <w:r w:rsidR="00721813">
        <w:t xml:space="preserve"> There is no genetic correlation between LEN and PRM across sites. The genetic correlation is 0.38 between LEN and SEC and 0.73 between PRM and SEC across sites (Figure S1C).</w:t>
      </w:r>
    </w:p>
    <w:p w14:paraId="418AC017" w14:textId="0CDB5C90" w:rsidR="00697D97" w:rsidRDefault="00697D97">
      <w:pPr>
        <w:rPr>
          <w:b/>
        </w:rPr>
      </w:pPr>
      <w:r w:rsidRPr="00DB1F5D">
        <w:rPr>
          <w:b/>
        </w:rPr>
        <w:t>QTL and G x E identification</w:t>
      </w:r>
    </w:p>
    <w:p w14:paraId="10A18169" w14:textId="6F5C5E3A" w:rsidR="00083530" w:rsidRDefault="00FA6EA3">
      <w:r>
        <w:t xml:space="preserve">A total of 18 QTLs are identified for panicle morphology traits </w:t>
      </w:r>
      <w:r w:rsidR="000F6763">
        <w:t>with the multienvironment mixed model</w:t>
      </w:r>
      <w:r>
        <w:t xml:space="preserve"> (Figure 3</w:t>
      </w:r>
      <w:r w:rsidR="00E63712">
        <w:t>, Table 1</w:t>
      </w:r>
      <w:r>
        <w:t xml:space="preserve">). </w:t>
      </w:r>
      <w:r w:rsidR="0076511C">
        <w:t>Seven QTLs are identified for LEN</w:t>
      </w:r>
      <w:r w:rsidR="00DC0B14">
        <w:t xml:space="preserve"> distributed on 7 chromosomes</w:t>
      </w:r>
      <w:r w:rsidR="0076511C">
        <w:t xml:space="preserve">. </w:t>
      </w:r>
      <w:r w:rsidR="00281B15">
        <w:t>Among them,</w:t>
      </w:r>
      <w:r w:rsidR="0076511C">
        <w:t xml:space="preserve"> f</w:t>
      </w:r>
      <w:r w:rsidR="0051426D">
        <w:t xml:space="preserve">ive QTLs show no genotype by environment interaction </w:t>
      </w:r>
      <w:r w:rsidR="00DC0B14">
        <w:t>as shown by constant effect size</w:t>
      </w:r>
      <w:r w:rsidR="0051426D">
        <w:t xml:space="preserve"> across sites</w:t>
      </w:r>
      <w:r w:rsidR="00751DB5">
        <w:t xml:space="preserve"> </w:t>
      </w:r>
      <w:r w:rsidR="00DC0B14">
        <w:t>(</w:t>
      </w:r>
      <w:r w:rsidR="0051426D">
        <w:t>Figure 4A); two QTLs (</w:t>
      </w:r>
      <w:r w:rsidR="00A031BA" w:rsidRPr="00A031BA">
        <w:t>3N@26.26</w:t>
      </w:r>
      <w:r w:rsidR="0051426D">
        <w:t xml:space="preserve"> and 6N@54.19) show </w:t>
      </w:r>
      <w:r w:rsidR="00316E43">
        <w:t>interact</w:t>
      </w:r>
      <w:r w:rsidR="0051426D">
        <w:t>ion</w:t>
      </w:r>
      <w:r w:rsidR="00316E43">
        <w:t xml:space="preserve"> with environment (</w:t>
      </w:r>
      <w:r w:rsidR="008060AD">
        <w:t>Q</w:t>
      </w:r>
      <w:r w:rsidR="00316E43">
        <w:t xml:space="preserve"> x E). </w:t>
      </w:r>
      <w:r w:rsidR="008A45DB">
        <w:t xml:space="preserve">QTL </w:t>
      </w:r>
      <w:r w:rsidR="00A031BA" w:rsidRPr="00A031BA">
        <w:t>3N@62.06</w:t>
      </w:r>
      <w:r w:rsidR="008A45DB">
        <w:t xml:space="preserve"> shows magnitude change of </w:t>
      </w:r>
      <w:r w:rsidR="00F30C06">
        <w:t xml:space="preserve">the additive </w:t>
      </w:r>
      <w:r w:rsidR="008A45DB">
        <w:t xml:space="preserve">effect </w:t>
      </w:r>
      <w:r w:rsidR="00F30C06">
        <w:t xml:space="preserve">across geographic regions. QTL </w:t>
      </w:r>
      <w:r w:rsidR="00A031BA" w:rsidRPr="00A031BA">
        <w:t>6N@54.19</w:t>
      </w:r>
      <w:r w:rsidR="00F30C06">
        <w:t xml:space="preserve"> shows magnitude change from the additive effect of C x D (WBC x VS16)</w:t>
      </w:r>
      <w:r w:rsidR="000B19F0">
        <w:t xml:space="preserve">, it has the largest effects at the most northern and southern site, but no </w:t>
      </w:r>
      <w:r w:rsidR="00DC0B14">
        <w:t xml:space="preserve">effect </w:t>
      </w:r>
      <w:r w:rsidR="000E13EF">
        <w:t xml:space="preserve">or </w:t>
      </w:r>
      <w:r w:rsidR="00DC0B14">
        <w:t xml:space="preserve">a </w:t>
      </w:r>
      <w:r w:rsidR="000E13EF">
        <w:t xml:space="preserve">small </w:t>
      </w:r>
      <w:r w:rsidR="000B19F0">
        <w:t xml:space="preserve">effect at midlatitude sites. QTL </w:t>
      </w:r>
      <w:r w:rsidR="00A031BA" w:rsidRPr="00A031BA">
        <w:t>6N@54.19</w:t>
      </w:r>
      <w:r w:rsidR="000B19F0">
        <w:t xml:space="preserve"> also show trade-off pattern of allelic effect from A x B (AP13 x DAC), where the allelic effects have </w:t>
      </w:r>
      <w:r w:rsidR="00F30C06">
        <w:t xml:space="preserve">sign change </w:t>
      </w:r>
      <w:r w:rsidR="000B19F0">
        <w:t>from southern to norther</w:t>
      </w:r>
      <w:r w:rsidR="00DC0B14">
        <w:t>n</w:t>
      </w:r>
      <w:r w:rsidR="000B19F0">
        <w:t xml:space="preserve"> sites</w:t>
      </w:r>
      <w:r w:rsidR="00F30C06">
        <w:t>.</w:t>
      </w:r>
    </w:p>
    <w:p w14:paraId="361BB77F" w14:textId="5B27C1A3" w:rsidR="0005581C" w:rsidRDefault="00316E43">
      <w:r>
        <w:t xml:space="preserve">Seven QTLs are identified for PRM </w:t>
      </w:r>
      <w:r w:rsidR="00751DB5">
        <w:t xml:space="preserve">as distributed on 7 chromosomes. </w:t>
      </w:r>
      <w:r w:rsidR="0005581C">
        <w:t xml:space="preserve">Among them, four QTLs show no Q x E; </w:t>
      </w:r>
      <w:r>
        <w:t>three</w:t>
      </w:r>
      <w:r w:rsidR="0005581C">
        <w:t xml:space="preserve"> of them show</w:t>
      </w:r>
      <w:r>
        <w:t xml:space="preserve"> </w:t>
      </w:r>
      <w:r w:rsidR="0051426D">
        <w:t>(</w:t>
      </w:r>
      <w:r w:rsidR="000E13EF">
        <w:t xml:space="preserve">3K@38, </w:t>
      </w:r>
      <w:r w:rsidR="00A031BA" w:rsidRPr="00A031BA">
        <w:t>5K@14.06</w:t>
      </w:r>
      <w:r w:rsidR="000E13EF">
        <w:t>, and 7N@54.06</w:t>
      </w:r>
      <w:r w:rsidR="0051426D">
        <w:t xml:space="preserve">) </w:t>
      </w:r>
      <w:r w:rsidR="008060AD">
        <w:t xml:space="preserve">Q </w:t>
      </w:r>
      <w:r>
        <w:t>x E interactions</w:t>
      </w:r>
      <w:r w:rsidR="000E13EF">
        <w:t xml:space="preserve">, including both changes of magnitude </w:t>
      </w:r>
      <w:r w:rsidR="0005581C">
        <w:t xml:space="preserve">(3K@38 and 7N@54.06) </w:t>
      </w:r>
      <w:r w:rsidR="000E13EF">
        <w:t>and direction</w:t>
      </w:r>
      <w:r w:rsidR="0005581C">
        <w:t xml:space="preserve"> (</w:t>
      </w:r>
      <w:r w:rsidR="0005581C" w:rsidRPr="00A031BA">
        <w:t>5K@14.06</w:t>
      </w:r>
      <w:r w:rsidR="0005581C">
        <w:t>)</w:t>
      </w:r>
      <w:r w:rsidR="000E13EF">
        <w:t xml:space="preserve"> from the allelic effect across geographic regions (Figure 4B). </w:t>
      </w:r>
      <w:r w:rsidR="0005581C">
        <w:t xml:space="preserve">Four QTLs are identified for SEC. Three of them show no Q x E interaction, while QTL </w:t>
      </w:r>
      <w:r w:rsidR="0005581C" w:rsidRPr="00A031BA">
        <w:t>9K@51.96</w:t>
      </w:r>
      <w:r w:rsidR="0005581C">
        <w:t xml:space="preserve"> shows the interaction with magnitude changes from the allelic effects (Figure 4C). </w:t>
      </w:r>
    </w:p>
    <w:p w14:paraId="07227358" w14:textId="77777777" w:rsidR="000F6763" w:rsidRDefault="0005581C" w:rsidP="00697D97">
      <w:r>
        <w:t>We also observe that</w:t>
      </w:r>
      <w:r w:rsidR="00316E43">
        <w:t xml:space="preserve"> two</w:t>
      </w:r>
      <w:r w:rsidR="000E13EF">
        <w:t xml:space="preserve"> QTLs</w:t>
      </w:r>
      <w:r>
        <w:t xml:space="preserve"> for PRM</w:t>
      </w:r>
      <w:r w:rsidR="000E13EF">
        <w:t xml:space="preserve"> (</w:t>
      </w:r>
      <w:r w:rsidR="00A031BA" w:rsidRPr="00A031BA">
        <w:t>2K@74.02</w:t>
      </w:r>
      <w:r w:rsidR="000E13EF">
        <w:t xml:space="preserve"> and 9N@26.03)</w:t>
      </w:r>
      <w:r w:rsidR="00316E43">
        <w:t xml:space="preserve"> co-localiz</w:t>
      </w:r>
      <w:r w:rsidR="000E13EF">
        <w:t>es</w:t>
      </w:r>
      <w:r w:rsidR="00316E43">
        <w:t xml:space="preserve"> with LEN QTLs on chromosome 2K and 9N</w:t>
      </w:r>
      <w:r w:rsidR="000E13EF">
        <w:t xml:space="preserve"> (Figure 3)</w:t>
      </w:r>
      <w:r w:rsidR="00316E43">
        <w:t xml:space="preserve">. </w:t>
      </w:r>
      <w:r w:rsidR="000E13EF">
        <w:t xml:space="preserve">QTL </w:t>
      </w:r>
      <w:r w:rsidRPr="0005581C">
        <w:t>9N@38.02</w:t>
      </w:r>
      <w:r>
        <w:t xml:space="preserve"> for SEC</w:t>
      </w:r>
      <w:r w:rsidR="00316E43">
        <w:t xml:space="preserve"> co-localizes with the QTL of LEN and PRM</w:t>
      </w:r>
      <w:r w:rsidR="000E13EF">
        <w:t xml:space="preserve"> on chromosome 9N (Figure 3)</w:t>
      </w:r>
      <w:r>
        <w:t xml:space="preserve">. </w:t>
      </w:r>
      <w:r w:rsidR="0076511C">
        <w:t>A</w:t>
      </w:r>
      <w:r w:rsidR="00297CD9" w:rsidRPr="008060AD">
        <w:t>ddition</w:t>
      </w:r>
      <w:r w:rsidR="0076511C">
        <w:t>ally</w:t>
      </w:r>
      <w:r w:rsidR="00297CD9" w:rsidRPr="008060AD">
        <w:t xml:space="preserve">, </w:t>
      </w:r>
      <w:r w:rsidR="009A6731" w:rsidRPr="008060AD">
        <w:t xml:space="preserve">we examine if the QTLs identified for panicle traits share the same </w:t>
      </w:r>
      <w:r>
        <w:t>QTLs</w:t>
      </w:r>
      <w:r w:rsidR="009A6731" w:rsidRPr="008060AD">
        <w:t xml:space="preserve"> with flowering (FL50) or plant height (HT)</w:t>
      </w:r>
      <w:r w:rsidR="0076511C">
        <w:t>. The reasons for doing this are that, flowering time and plant height have been identified to be associated with panicle branching pattern in other plants</w:t>
      </w:r>
      <w:r w:rsidR="009A6731" w:rsidRPr="008060AD">
        <w:t>,</w:t>
      </w:r>
      <w:r w:rsidR="0076511C">
        <w:t xml:space="preserve"> and our previous study identified the genetic basis for flowering and plant height under the context of local adaptation </w:t>
      </w:r>
      <w:r w:rsidR="009A6731" w:rsidRPr="008060AD">
        <w:t xml:space="preserve">(Lowry et al., 2019). Our results show that the QTL </w:t>
      </w:r>
      <w:r w:rsidR="00766906" w:rsidRPr="008060AD">
        <w:t>2K@77.89</w:t>
      </w:r>
      <w:r w:rsidR="009A6731" w:rsidRPr="008060AD">
        <w:t xml:space="preserve"> for LEN, the QTL on 2N for PRM and SEC, </w:t>
      </w:r>
      <w:r w:rsidR="001368FA" w:rsidRPr="008060AD">
        <w:t xml:space="preserve">the QTL on 3K@38 for PRM, </w:t>
      </w:r>
      <w:r w:rsidR="009A6731" w:rsidRPr="008060AD">
        <w:t xml:space="preserve">the QTL on </w:t>
      </w:r>
      <w:r w:rsidR="00766906" w:rsidRPr="008060AD">
        <w:t>5N@84.04</w:t>
      </w:r>
      <w:r w:rsidR="009A6731" w:rsidRPr="008060AD">
        <w:t xml:space="preserve"> for PRM, and the QTL on 9N for all panicle traits are clustering with FL50 and HT</w:t>
      </w:r>
      <w:r w:rsidR="001368FA" w:rsidRPr="008060AD">
        <w:t xml:space="preserve"> QTLs (Figure 3).</w:t>
      </w:r>
      <w:r w:rsidR="009A6731" w:rsidRPr="008060AD">
        <w:t xml:space="preserve"> </w:t>
      </w:r>
      <w:r w:rsidR="001368FA" w:rsidRPr="008060AD">
        <w:t xml:space="preserve">Most of the clusters occur </w:t>
      </w:r>
      <w:r>
        <w:t>between</w:t>
      </w:r>
      <w:r w:rsidRPr="008060AD">
        <w:t xml:space="preserve"> </w:t>
      </w:r>
      <w:r w:rsidR="001368FA" w:rsidRPr="008060AD">
        <w:t>PRM and FL50/HT QTLs.</w:t>
      </w:r>
    </w:p>
    <w:p w14:paraId="7A992F92" w14:textId="69D2F4A8" w:rsidR="00A031BA" w:rsidRDefault="004F6C54" w:rsidP="00697D97">
      <w:r>
        <w:t>The evaluation of t</w:t>
      </w:r>
      <w:r w:rsidR="0001667B">
        <w:t xml:space="preserve">he </w:t>
      </w:r>
      <w:r>
        <w:t xml:space="preserve">QTL and </w:t>
      </w:r>
      <w:r w:rsidR="008060AD">
        <w:t>Q</w:t>
      </w:r>
      <w:r w:rsidR="00D81D3F">
        <w:t xml:space="preserve"> </w:t>
      </w:r>
      <w:r>
        <w:t xml:space="preserve">x E </w:t>
      </w:r>
      <w:r w:rsidR="0001667B">
        <w:t xml:space="preserve">model </w:t>
      </w:r>
      <w:r>
        <w:t>(</w:t>
      </w:r>
      <w:r w:rsidR="000F6763">
        <w:t>E</w:t>
      </w:r>
      <w:r>
        <w:t>q. 1) showed prediction accuracy (</w:t>
      </w:r>
      <w:r w:rsidRPr="000F6763">
        <w:rPr>
          <w:i/>
        </w:rPr>
        <w:t>r</w:t>
      </w:r>
      <w:r>
        <w:t>) of 0.34-0.62 and percentage of bias (%bias) of 0.3%-0.6% for panicle morphology traits</w:t>
      </w:r>
      <w:r w:rsidR="00CE1CB3">
        <w:t xml:space="preserve"> across the three test sites (Figure 5). </w:t>
      </w:r>
      <w:r w:rsidR="000F6763">
        <w:t xml:space="preserve">With the best subsets </w:t>
      </w:r>
      <w:r w:rsidR="00891E2D">
        <w:t xml:space="preserve">selection </w:t>
      </w:r>
      <w:proofErr w:type="spellStart"/>
      <w:r w:rsidR="00891E2D">
        <w:t>procedure</w:t>
      </w:r>
      <w:r w:rsidR="000F6763">
        <w:t>p</w:t>
      </w:r>
      <w:proofErr w:type="spellEnd"/>
      <w:r w:rsidR="000F6763">
        <w:t xml:space="preserve">, the environmental factor(s) were identified for the Q x E interactions in the multienvironment mixed model (eq. 1, Table 2, </w:t>
      </w:r>
      <w:r w:rsidR="000F6763" w:rsidRPr="003F6372">
        <w:rPr>
          <w:i/>
        </w:rPr>
        <w:t>p</w:t>
      </w:r>
      <w:r w:rsidR="000F6763">
        <w:t xml:space="preserve"> &lt;0.05). The main driver of the Q x E is mean temperature for </w:t>
      </w:r>
      <w:r w:rsidR="00891E2D">
        <w:t xml:space="preserve">all three </w:t>
      </w:r>
      <w:r w:rsidR="000F6763">
        <w:t xml:space="preserve">panicle traits, and one QTL for PRM interacts with rainfall. For example, the additive effects of QTL </w:t>
      </w:r>
      <w:r w:rsidR="000F6763" w:rsidRPr="00F45DE2">
        <w:t>6N@54.19</w:t>
      </w:r>
      <w:r w:rsidR="000F6763">
        <w:t xml:space="preserve"> </w:t>
      </w:r>
      <w:r w:rsidR="00891E2D">
        <w:t xml:space="preserve">for </w:t>
      </w:r>
      <w:r w:rsidR="000F6763">
        <w:t xml:space="preserve">the A x B (AP13 x DAC) cross of panicle length (Figure 4A) increase from southern to northern sites, </w:t>
      </w:r>
      <w:r w:rsidR="00891E2D">
        <w:t xml:space="preserve">correlated </w:t>
      </w:r>
      <w:r w:rsidR="000F6763">
        <w:t xml:space="preserve">with the mean temperature </w:t>
      </w:r>
      <w:r w:rsidR="00891E2D">
        <w:t xml:space="preserve">in a negative fashion </w:t>
      </w:r>
      <w:r w:rsidR="000F6763">
        <w:t xml:space="preserve">(Table 2).  Some of the Q x E interactions have no environmental factor identified. This is likely related to the fact that not all the environmental factors (such as soil) are accounted for in </w:t>
      </w:r>
      <w:r w:rsidR="00891E2D">
        <w:t xml:space="preserve">this </w:t>
      </w:r>
      <w:r w:rsidR="000F6763">
        <w:t>study.</w:t>
      </w:r>
    </w:p>
    <w:p w14:paraId="14635067" w14:textId="7956FDF9" w:rsidR="006C11D1" w:rsidRDefault="00697D97" w:rsidP="00697D97">
      <w:r w:rsidRPr="003F6372">
        <w:rPr>
          <w:b/>
        </w:rPr>
        <w:lastRenderedPageBreak/>
        <w:t>Candidate gene identification</w:t>
      </w:r>
    </w:p>
    <w:p w14:paraId="5A9623EE" w14:textId="2F546E8F" w:rsidR="006C11D1" w:rsidRDefault="006C11D1" w:rsidP="006C11D1">
      <w:r>
        <w:t>W</w:t>
      </w:r>
      <w:r w:rsidRPr="00254DB3">
        <w:t xml:space="preserve">e </w:t>
      </w:r>
      <w:r>
        <w:t xml:space="preserve">further </w:t>
      </w:r>
      <w:r w:rsidRPr="00254DB3">
        <w:t xml:space="preserve">sought to identify genetic variations </w:t>
      </w:r>
      <w:r>
        <w:t xml:space="preserve">between lowland (AP13 and WBC) and upland (DAC and VS16) genotype by integrating the known candidate genes associated with panicle architecture reported in previous studies. A total of ~13,000 genes were identified in the interval of 18 panicle architecture QTLs. The annotation of candidate genes at each QTL interval was provided in Table S2. </w:t>
      </w:r>
    </w:p>
    <w:p w14:paraId="4CED3F45" w14:textId="195A41C1" w:rsidR="006C11D1" w:rsidRPr="00724ACA" w:rsidRDefault="006C11D1" w:rsidP="006C11D1">
      <w:r>
        <w:t>Among these candidate genes, key transcription f</w:t>
      </w:r>
      <w:r w:rsidRPr="00D13885">
        <w:t>actors</w:t>
      </w:r>
      <w:r>
        <w:t xml:space="preserve"> and hormone related genes associated with the development of panicle</w:t>
      </w:r>
      <w:r w:rsidR="000F6763">
        <w:t>s</w:t>
      </w:r>
      <w:r>
        <w:t xml:space="preserve"> were identified in the interval of most </w:t>
      </w:r>
      <w:r w:rsidR="000F6763">
        <w:t xml:space="preserve">Q </w:t>
      </w:r>
      <w:r>
        <w:t xml:space="preserve">x </w:t>
      </w:r>
      <w:r w:rsidRPr="00724ACA">
        <w:t xml:space="preserve">E QTLs. For example, transcription factors from SPL family (Pavir.3NG140945 as the homolog of OsSPL9 in 3N@62.06; Pavir.6NG315100 and Pavir.6NG327200 as homologs of OsSPL14 and OsSPL16 in 6N@54.19) and MADS family (Pavir.3NG140846 as the homolog of OsMADS4 in 3N@62.06; </w:t>
      </w:r>
      <w:r w:rsidRPr="00724ACA">
        <w:rPr>
          <w:rFonts w:ascii="Calibri" w:eastAsia="Times New Roman" w:hAnsi="Calibri" w:cs="Calibri"/>
          <w:lang w:eastAsia="zh-CN"/>
        </w:rPr>
        <w:t xml:space="preserve">Pavir.6NG327900 </w:t>
      </w:r>
      <w:r w:rsidRPr="00724ACA">
        <w:t xml:space="preserve">as the homolog of OsMADS37 </w:t>
      </w:r>
      <w:r w:rsidRPr="00724ACA">
        <w:rPr>
          <w:rFonts w:ascii="Calibri" w:eastAsia="Times New Roman" w:hAnsi="Calibri" w:cs="Calibri"/>
          <w:lang w:eastAsia="zh-CN"/>
        </w:rPr>
        <w:t xml:space="preserve">in </w:t>
      </w:r>
      <w:r w:rsidRPr="00724ACA">
        <w:t xml:space="preserve">6N@54.19) were detected in two LEN G x E QTLs intervals. Key regulators involved in GA metabolic (Pavir.3KG352627 as the homolog of GA2ox3 in 3K@38; </w:t>
      </w:r>
      <w:r w:rsidRPr="00724ACA">
        <w:rPr>
          <w:rFonts w:ascii="Calibri" w:eastAsia="Times New Roman" w:hAnsi="Calibri" w:cs="Calibri"/>
          <w:lang w:eastAsia="zh-CN"/>
        </w:rPr>
        <w:t>Pavir.5KG065800</w:t>
      </w:r>
      <w:r w:rsidRPr="00724ACA">
        <w:t xml:space="preserve"> as the homolog of GA3ox2 in 5K@14.06) and CK signaling pathways (Pavir.7NG435700 as the homolog of ARR6 in 7N@54.06; Pavir.9KG213000 as the homolog of ARR1 in 9K@51.96) were found in four branching G x E QTLs intervals. These genes could be good candidates to recurring environmental stress and modulate panicle architecture. </w:t>
      </w:r>
    </w:p>
    <w:p w14:paraId="44A123CA" w14:textId="77777777" w:rsidR="006C11D1" w:rsidRPr="00724ACA" w:rsidRDefault="006C11D1" w:rsidP="006C11D1">
      <w:r w:rsidRPr="00724ACA">
        <w:t>Furthermore, we also identified candidate genes for those pleiotropic QTLs. For example, we identified the homolog of BZR1 (Pavir.2KG507900) and OsMADS18 (Pavir.2KG531900) in the co-localization interval of LEN and PRM QTLs on Chr2K. We also detected the homolog of OsCOL10 (</w:t>
      </w:r>
      <w:r w:rsidRPr="00724ACA">
        <w:rPr>
          <w:rFonts w:ascii="Calibri" w:eastAsia="Times New Roman" w:hAnsi="Calibri" w:cs="Calibri"/>
          <w:lang w:eastAsia="zh-CN"/>
        </w:rPr>
        <w:t xml:space="preserve">Pavir.9NG134200) and OsTB1 (Pavir.9NG142700) in the </w:t>
      </w:r>
      <w:r w:rsidRPr="00724ACA">
        <w:t xml:space="preserve">co-localization interval for LEN and PRM QTLs on Chr9N. The results indicated the pleiotropic functions of these candidates in spatial coordination of panicle axis and branches. </w:t>
      </w:r>
    </w:p>
    <w:p w14:paraId="271B3A3E" w14:textId="7DD01DE1" w:rsidR="006C11D1" w:rsidRDefault="006C11D1" w:rsidP="00697D97">
      <w:r w:rsidRPr="00724ACA">
        <w:t xml:space="preserve">Interestingly, we found a number of key flowering genes in our panicle QTL intervals, including homologs of </w:t>
      </w:r>
      <w:proofErr w:type="spellStart"/>
      <w:r w:rsidRPr="00724ACA">
        <w:t>OsGI</w:t>
      </w:r>
      <w:proofErr w:type="spellEnd"/>
      <w:r w:rsidRPr="00724ACA">
        <w:t xml:space="preserve"> (</w:t>
      </w:r>
      <w:r w:rsidRPr="00724ACA">
        <w:rPr>
          <w:rFonts w:ascii="Calibri" w:eastAsia="Times New Roman" w:hAnsi="Calibri" w:cs="Calibri"/>
          <w:lang w:eastAsia="zh-CN"/>
        </w:rPr>
        <w:t>Pavir.5KG060800</w:t>
      </w:r>
      <w:r w:rsidRPr="00724ACA">
        <w:t xml:space="preserve">) and OsMADS51 (Pavir.5KG092874) in PRM QTL 5K@14.06 interval; the homolog of Hd3a (Pavir.4KG289300) in PRM QTL 4K@26.26 interval; and the homolog of Ehd1 (Pavir.9KG213000) in SEC QTL 9K@51.96 interval. These genes are known to involve in photoperiod flowering pathway and control the panicle morphology in grass. However, they were not co-localized with flowering QTLs that we identified before. These results indicated the complexity functions of </w:t>
      </w:r>
      <w:r>
        <w:t>flowering time genes in vegetative to reproductive t</w:t>
      </w:r>
      <w:r w:rsidRPr="00456FAD">
        <w:t>ransition</w:t>
      </w:r>
      <w:r>
        <w:t xml:space="preserve">. </w:t>
      </w:r>
    </w:p>
    <w:p w14:paraId="2763E6B3" w14:textId="77777777" w:rsidR="000E0E57" w:rsidRPr="003F6372" w:rsidRDefault="000E0E57" w:rsidP="00697D97">
      <w:pPr>
        <w:rPr>
          <w:b/>
          <w:sz w:val="28"/>
          <w:szCs w:val="28"/>
        </w:rPr>
      </w:pPr>
      <w:r w:rsidRPr="003F6372">
        <w:rPr>
          <w:b/>
          <w:sz w:val="28"/>
          <w:szCs w:val="28"/>
        </w:rPr>
        <w:t>Discussion</w:t>
      </w:r>
    </w:p>
    <w:p w14:paraId="31F08C5C" w14:textId="62C86576" w:rsidR="00766906" w:rsidRDefault="001C6A36" w:rsidP="00697D97">
      <w:r>
        <w:t xml:space="preserve">In this study, we evaluated the genetic basis of panicle morphological traits in outcrossing switchgrass across 10 field sites in the central United States (Figure 1). </w:t>
      </w:r>
      <w:r w:rsidR="00891E2D">
        <w:t>Our</w:t>
      </w:r>
      <w:r w:rsidR="00393EAB">
        <w:t xml:space="preserve"> study identifie</w:t>
      </w:r>
      <w:r w:rsidR="00252289">
        <w:t>d</w:t>
      </w:r>
      <w:r w:rsidR="00393EAB">
        <w:t xml:space="preserve"> the individual loci that contribute to the panicle trait variation across geographic region. Some QTLs had significant </w:t>
      </w:r>
      <w:r w:rsidR="008060AD">
        <w:t xml:space="preserve">Q </w:t>
      </w:r>
      <w:r w:rsidR="00393EAB">
        <w:t>x E effects, indicating</w:t>
      </w:r>
      <w:r w:rsidR="00766906">
        <w:t xml:space="preserve"> the importance of environmental factors in affecting panicle traits. Overall, our results show that panicle traits across large-scale environmental gradients are controlled by </w:t>
      </w:r>
      <w:r w:rsidR="008A2BC6">
        <w:t>a combination of</w:t>
      </w:r>
      <w:r w:rsidR="00871F65">
        <w:t xml:space="preserve"> genetic loci </w:t>
      </w:r>
      <w:r w:rsidR="00766906">
        <w:t xml:space="preserve">and the environment. </w:t>
      </w:r>
    </w:p>
    <w:p w14:paraId="0050AD27" w14:textId="1B140365" w:rsidR="00FB021E" w:rsidRDefault="00E53B0F" w:rsidP="00697D97">
      <w:r>
        <w:t>Consistent with the previous study of switchgrass (Lowry et al., 2019</w:t>
      </w:r>
      <w:r w:rsidR="0005468E">
        <w:t>, 2014</w:t>
      </w:r>
      <w:r>
        <w:t xml:space="preserve">), there were large asymmetries </w:t>
      </w:r>
      <w:r w:rsidR="00B94B4A">
        <w:t xml:space="preserve">and local adaptation </w:t>
      </w:r>
      <w:r>
        <w:t xml:space="preserve">in additive effects across field sites (Figure 3). Some QTLs </w:t>
      </w:r>
      <w:r w:rsidR="00583112">
        <w:t xml:space="preserve">(e.g., </w:t>
      </w:r>
      <w:r w:rsidR="00F07B74" w:rsidRPr="00F07B74">
        <w:t>3N@63.06</w:t>
      </w:r>
      <w:r w:rsidR="00583112">
        <w:t xml:space="preserve"> for LEN) </w:t>
      </w:r>
      <w:r>
        <w:t xml:space="preserve">had effects </w:t>
      </w:r>
      <w:r w:rsidR="00583112">
        <w:t xml:space="preserve">in </w:t>
      </w:r>
      <w:r w:rsidR="002C0A84">
        <w:t>one or two geographic regions</w:t>
      </w:r>
      <w:r>
        <w:t xml:space="preserve"> but not in others</w:t>
      </w:r>
      <w:r w:rsidR="002C0A84">
        <w:t xml:space="preserve"> (i.e., conditional neutrality</w:t>
      </w:r>
      <w:r w:rsidR="003975A3">
        <w:t xml:space="preserve">, </w:t>
      </w:r>
      <w:proofErr w:type="spellStart"/>
      <w:r w:rsidR="003975A3">
        <w:t>Wadgymar</w:t>
      </w:r>
      <w:proofErr w:type="spellEnd"/>
      <w:r w:rsidR="003975A3">
        <w:t xml:space="preserve"> et al., 2017</w:t>
      </w:r>
      <w:r w:rsidR="002C0A84">
        <w:t>)</w:t>
      </w:r>
      <w:r>
        <w:t xml:space="preserve">. Some QTLs </w:t>
      </w:r>
      <w:r w:rsidR="00583112">
        <w:t xml:space="preserve">(e.g., 3K@38 for PRM) </w:t>
      </w:r>
      <w:r w:rsidR="00891E2D">
        <w:t>showed variation in the</w:t>
      </w:r>
      <w:r>
        <w:t xml:space="preserve"> </w:t>
      </w:r>
      <w:r w:rsidR="00583112">
        <w:lastRenderedPageBreak/>
        <w:t xml:space="preserve">magnitude </w:t>
      </w:r>
      <w:r w:rsidR="00891E2D">
        <w:t xml:space="preserve">of </w:t>
      </w:r>
      <w:r w:rsidR="00583112">
        <w:t xml:space="preserve">change but </w:t>
      </w:r>
      <w:r w:rsidR="00891E2D">
        <w:t>no</w:t>
      </w:r>
      <w:r w:rsidR="00583112">
        <w:t xml:space="preserve"> sign change, showing differential sensitivity across geographic regions. </w:t>
      </w:r>
      <w:r w:rsidR="00C51CD8">
        <w:t>One QTL</w:t>
      </w:r>
      <w:r w:rsidR="00891E2D">
        <w:t xml:space="preserve">, </w:t>
      </w:r>
      <w:r w:rsidR="00C51CD8" w:rsidRPr="00F07B74">
        <w:t>6N@54.19</w:t>
      </w:r>
      <w:r w:rsidR="00C51CD8">
        <w:t xml:space="preserve"> for LEN</w:t>
      </w:r>
      <w:r w:rsidR="00891E2D">
        <w:t>,</w:t>
      </w:r>
      <w:r w:rsidR="00C51CD8">
        <w:t xml:space="preserve"> had </w:t>
      </w:r>
      <w:r w:rsidR="00891E2D">
        <w:t xml:space="preserve">a </w:t>
      </w:r>
      <w:r w:rsidR="00C51CD8">
        <w:t xml:space="preserve">sign change, indicating </w:t>
      </w:r>
      <w:r w:rsidR="00891E2D">
        <w:t xml:space="preserve">that there is </w:t>
      </w:r>
      <w:r w:rsidR="00C51CD8">
        <w:t>antagonistic pleiotropy</w:t>
      </w:r>
      <w:r w:rsidR="00891E2D">
        <w:t xml:space="preserve">. This is when </w:t>
      </w:r>
      <w:r w:rsidR="00C51CD8">
        <w:t xml:space="preserve">the allele </w:t>
      </w:r>
      <w:r w:rsidR="00891E2D">
        <w:t>is</w:t>
      </w:r>
      <w:r w:rsidR="00C51CD8">
        <w:t xml:space="preserve"> beneficial </w:t>
      </w:r>
      <w:r w:rsidR="00891E2D">
        <w:t>in</w:t>
      </w:r>
      <w:r w:rsidR="00C51CD8">
        <w:t xml:space="preserve"> some </w:t>
      </w:r>
      <w:r w:rsidR="00891E2D">
        <w:t xml:space="preserve">environments (or </w:t>
      </w:r>
      <w:r w:rsidR="00C51CD8">
        <w:t>sites</w:t>
      </w:r>
      <w:r w:rsidR="00891E2D">
        <w:t>)</w:t>
      </w:r>
      <w:r w:rsidR="00C51CD8">
        <w:t xml:space="preserve"> but </w:t>
      </w:r>
      <w:r w:rsidR="00891E2D">
        <w:t xml:space="preserve">deleterious in </w:t>
      </w:r>
      <w:r w:rsidR="00C51CD8">
        <w:t xml:space="preserve">others </w:t>
      </w:r>
      <w:r w:rsidR="00891E2D">
        <w:t>environments</w:t>
      </w:r>
      <w:r w:rsidR="00C51CD8">
        <w:t>.</w:t>
      </w:r>
      <w:r w:rsidR="00A5199C">
        <w:t xml:space="preserve"> </w:t>
      </w:r>
      <w:r w:rsidR="00C51CD8">
        <w:t>A</w:t>
      </w:r>
      <w:r w:rsidR="003975A3">
        <w:t xml:space="preserve">ntagonistic pleiotropy </w:t>
      </w:r>
      <w:r w:rsidR="00C51CD8">
        <w:t xml:space="preserve">is </w:t>
      </w:r>
      <w:r w:rsidR="00891E2D">
        <w:t>a</w:t>
      </w:r>
      <w:r w:rsidR="003975A3">
        <w:t xml:space="preserve"> genetic trade-off at </w:t>
      </w:r>
      <w:r w:rsidR="00891E2D">
        <w:t>an individual locus</w:t>
      </w:r>
      <w:r w:rsidR="003975A3">
        <w:t xml:space="preserve">, </w:t>
      </w:r>
      <w:r w:rsidR="00891E2D">
        <w:t xml:space="preserve">that </w:t>
      </w:r>
      <w:r w:rsidR="003975A3">
        <w:t>confer</w:t>
      </w:r>
      <w:r w:rsidR="00891E2D">
        <w:t>s</w:t>
      </w:r>
      <w:r w:rsidR="003975A3">
        <w:t xml:space="preserve"> an advantage </w:t>
      </w:r>
      <w:r w:rsidR="00891E2D">
        <w:t xml:space="preserve">to individuals </w:t>
      </w:r>
      <w:r w:rsidR="003975A3">
        <w:t>in their home environments and a disadvantage in alternative environments (</w:t>
      </w:r>
      <w:proofErr w:type="spellStart"/>
      <w:r w:rsidR="003975A3">
        <w:t>Wadgymar</w:t>
      </w:r>
      <w:proofErr w:type="spellEnd"/>
      <w:r w:rsidR="003975A3">
        <w:t xml:space="preserve"> et al., 2017). In our study, </w:t>
      </w:r>
      <w:r w:rsidR="004819BC">
        <w:t>most of the QTLs</w:t>
      </w:r>
      <w:r w:rsidR="00891E2D">
        <w:t xml:space="preserve"> are </w:t>
      </w:r>
      <w:r w:rsidR="004819BC">
        <w:t>conditional neutral. This is consistent with the finding that local adaptation or QTL effect asymmetry is more often caused by conditional neutrality than trades-offs based on the studies of five biological systems (</w:t>
      </w:r>
      <w:proofErr w:type="spellStart"/>
      <w:r w:rsidR="004819BC">
        <w:t>Wadgymar</w:t>
      </w:r>
      <w:proofErr w:type="spellEnd"/>
      <w:r w:rsidR="004819BC">
        <w:t xml:space="preserve"> et al., 2017)</w:t>
      </w:r>
      <w:r w:rsidR="00891E2D">
        <w:t xml:space="preserve">. This supports the idea that there is </w:t>
      </w:r>
      <w:r w:rsidR="004819BC">
        <w:t>restricted gene flow between upland and lowland ecotypes (</w:t>
      </w:r>
      <w:proofErr w:type="spellStart"/>
      <w:r w:rsidR="00E929EB">
        <w:t>Merila</w:t>
      </w:r>
      <w:proofErr w:type="spellEnd"/>
      <w:r w:rsidR="00E929EB">
        <w:t xml:space="preserve"> et al., 2013; </w:t>
      </w:r>
      <w:proofErr w:type="spellStart"/>
      <w:r w:rsidR="004819BC">
        <w:t>Wadgymar</w:t>
      </w:r>
      <w:proofErr w:type="spellEnd"/>
      <w:r w:rsidR="004819BC">
        <w:t xml:space="preserve"> et al., 2017; Lowry et al., 2019</w:t>
      </w:r>
      <w:r w:rsidR="00E929EB">
        <w:t>)</w:t>
      </w:r>
      <w:r w:rsidR="004819BC">
        <w:t xml:space="preserve">. </w:t>
      </w:r>
    </w:p>
    <w:p w14:paraId="2B2A51EB" w14:textId="4100EF93" w:rsidR="00FE581F" w:rsidRDefault="00B11341" w:rsidP="00697D97">
      <w:r>
        <w:t>We</w:t>
      </w:r>
      <w:r w:rsidR="008045DC">
        <w:t xml:space="preserve"> found a few QTLs without Q x E </w:t>
      </w:r>
      <w:r w:rsidR="006305F2">
        <w:t xml:space="preserve">interaction </w:t>
      </w:r>
      <w:r w:rsidR="008045DC">
        <w:t>had similar allele effects for the A x B and C x D cross</w:t>
      </w:r>
      <w:r>
        <w:t>es</w:t>
      </w:r>
      <w:r w:rsidR="008045DC">
        <w:t xml:space="preserve">, indicating that they </w:t>
      </w:r>
      <w:r w:rsidR="00B94B4A">
        <w:t>were</w:t>
      </w:r>
      <w:r w:rsidR="00941D7B">
        <w:t xml:space="preserve"> consistently responsible for divergence between ecotypes</w:t>
      </w:r>
      <w:r w:rsidR="008045DC">
        <w:t xml:space="preserve">. However, for QTLs with Q x E, there is little evidence </w:t>
      </w:r>
      <w:r w:rsidR="006305F2">
        <w:t xml:space="preserve">that </w:t>
      </w:r>
      <w:r w:rsidR="008045DC">
        <w:t xml:space="preserve">the same set of loci that showed consistent divergence between upland and lowland ecotypes, suggesting </w:t>
      </w:r>
      <w:r w:rsidR="00B94B4A">
        <w:t>different loci on locally adaptive ecotype divergence across the range of specie</w:t>
      </w:r>
      <w:r w:rsidR="00E929EB">
        <w:t>s</w:t>
      </w:r>
      <w:r w:rsidR="004674A1">
        <w:t xml:space="preserve">. The colocalization of panicle QTLs with flowering/height QTLs </w:t>
      </w:r>
      <w:r w:rsidR="00D81D3F">
        <w:t xml:space="preserve">in switchgrass may not be surprising as other studies in rice and sorghum have showed the genes associated with flowering and plant height have a large influence on panicle traits (Yu et al., 2017; Miura et al., 2010). </w:t>
      </w:r>
    </w:p>
    <w:p w14:paraId="14EF2CDC" w14:textId="3A8BDC93" w:rsidR="00F17D3F" w:rsidRDefault="00252289" w:rsidP="00697D97">
      <w:r>
        <w:t xml:space="preserve">The low to moderate prediction accuracy (0.34-0.62) of the multienvironment mixed model (Eq. 1) on the independent genotypes grown in three of the 10 field sites </w:t>
      </w:r>
      <w:r w:rsidR="00462C22">
        <w:t>is likely due to the large variation observed in the field, and the fact that the model is only counting for the few significant QTLs</w:t>
      </w:r>
      <w:r w:rsidR="00417AF8">
        <w:t xml:space="preserve"> while the majority of the loci</w:t>
      </w:r>
      <w:r w:rsidR="00462C22">
        <w:t xml:space="preserve"> may </w:t>
      </w:r>
      <w:r w:rsidR="006305F2">
        <w:t>have small contribution to the trait but this is no detectable due to the sample size</w:t>
      </w:r>
      <w:r w:rsidR="00417AF8">
        <w:t xml:space="preserve">. In addition, our model </w:t>
      </w:r>
      <w:r w:rsidR="006305F2">
        <w:t xml:space="preserve">does </w:t>
      </w:r>
      <w:r w:rsidR="00417AF8">
        <w:t>not count for the epistatic effects between QTLs</w:t>
      </w:r>
      <w:r w:rsidR="00CE7A12">
        <w:t xml:space="preserve">. However, our approach provides </w:t>
      </w:r>
      <w:r w:rsidR="006305F2">
        <w:t>a way of</w:t>
      </w:r>
      <w:r w:rsidR="00CE7A12">
        <w:t xml:space="preserve"> predicting the performance of new genotypes under environments similar to the tested environments, helping with suitable genotype selection for traits of interest under specific environment. </w:t>
      </w:r>
    </w:p>
    <w:p w14:paraId="4C5CC4A1" w14:textId="54EFBE19" w:rsidR="00252289" w:rsidRDefault="00CE7A12" w:rsidP="00697D97">
      <w:r>
        <w:t xml:space="preserve">Temperature </w:t>
      </w:r>
      <w:r w:rsidR="006E631A">
        <w:t xml:space="preserve">as the main driver </w:t>
      </w:r>
      <w:r w:rsidR="006305F2">
        <w:t xml:space="preserve">of the ones tested for </w:t>
      </w:r>
      <w:r w:rsidR="006E631A">
        <w:t>the Q x E interactions is consistent with the pattern of additive effects of most of the QTLs</w:t>
      </w:r>
      <w:r w:rsidR="007256CE">
        <w:t xml:space="preserve"> (Table 2)</w:t>
      </w:r>
      <w:r w:rsidR="006E631A">
        <w:t xml:space="preserve">, where QTLs displayed conditional neutrality with effects either in the northern sites or the southern sites or both, but not at the middle latitude sites (Figure 4. </w:t>
      </w:r>
      <w:r w:rsidR="007256CE">
        <w:t>No environmental factors were detected as significant for some of the Q x E interactions, this is likely due to the fact that our model (</w:t>
      </w:r>
      <w:r w:rsidR="006305F2">
        <w:t xml:space="preserve">as shown in </w:t>
      </w:r>
      <w:r w:rsidR="007256CE">
        <w:t xml:space="preserve">Eq. 2) only included temperature and rainfall as independent variables for the QTL effects, but not taking into consideration of all the possible environmental factors. </w:t>
      </w:r>
      <w:r w:rsidR="006305F2">
        <w:t>This study could be expanded in the future to include more field site, multiple years, and</w:t>
      </w:r>
      <w:r w:rsidR="00C246BE">
        <w:t xml:space="preserve"> </w:t>
      </w:r>
      <w:r w:rsidR="00F17D3F">
        <w:t>more environmental data collection</w:t>
      </w:r>
      <w:r w:rsidR="006305F2">
        <w:t xml:space="preserve"> such as soil and nutrients to better</w:t>
      </w:r>
      <w:r w:rsidR="00F17D3F">
        <w:t xml:space="preserve"> capture the environmental drivers underlying the </w:t>
      </w:r>
      <w:r w:rsidR="006305F2">
        <w:t xml:space="preserve">Q x E </w:t>
      </w:r>
      <w:r w:rsidR="00F17D3F">
        <w:t>interactions.</w:t>
      </w:r>
    </w:p>
    <w:p w14:paraId="68458A10" w14:textId="059202ED" w:rsidR="00F17D3F" w:rsidRDefault="00F17D3F" w:rsidP="00697D97">
      <w:r>
        <w:t>In summary, our results suggest that variation of panicles traits in switchgrass is a combination of individual loc</w:t>
      </w:r>
      <w:r w:rsidR="00871F65">
        <w:t xml:space="preserve">us </w:t>
      </w:r>
      <w:r>
        <w:t xml:space="preserve">and environment, with loci displaying variable effects across geographic regions. Future work focusing on identifying the driver of </w:t>
      </w:r>
      <w:r w:rsidR="00A20CBA">
        <w:t xml:space="preserve">QTL by environment interactions will facilitate the suitable genotype selection under specific environment in switchgrass breeding programs. </w:t>
      </w:r>
    </w:p>
    <w:p w14:paraId="7A1BC3F5" w14:textId="7445778A" w:rsidR="00766906" w:rsidRDefault="00766906" w:rsidP="00697D97">
      <w:pPr>
        <w:sectPr w:rsidR="00766906">
          <w:pgSz w:w="12240" w:h="15840"/>
          <w:pgMar w:top="1440" w:right="1440" w:bottom="1440" w:left="1440" w:header="720" w:footer="720" w:gutter="0"/>
          <w:cols w:space="720"/>
          <w:docGrid w:linePitch="360"/>
        </w:sectPr>
      </w:pPr>
    </w:p>
    <w:p w14:paraId="5904B516" w14:textId="7167002D" w:rsidR="00E96DFF" w:rsidRDefault="00E96DFF" w:rsidP="00697D97">
      <w:r>
        <w:lastRenderedPageBreak/>
        <w:t>Table 1. The identified QTLs, along with their</w:t>
      </w:r>
      <w:r w:rsidR="00DB1F5D">
        <w:t xml:space="preserve"> marker name</w:t>
      </w:r>
      <w:r w:rsidR="00281B15">
        <w:t xml:space="preserve"> (chromosome with physical distance in mega base pair)</w:t>
      </w:r>
      <w:r w:rsidR="00DB1F5D">
        <w:t>,</w:t>
      </w:r>
      <w:r>
        <w:t xml:space="preserve"> LOD values, </w:t>
      </w:r>
      <w:r w:rsidR="00DB1F5D">
        <w:t xml:space="preserve">and </w:t>
      </w:r>
      <w:r>
        <w:t xml:space="preserve">flank markers </w:t>
      </w:r>
      <w:r w:rsidR="00DB1F5D">
        <w:t>(</w:t>
      </w:r>
      <w:proofErr w:type="spellStart"/>
      <w:r w:rsidR="00DB1F5D">
        <w:t>down_marker</w:t>
      </w:r>
      <w:proofErr w:type="spellEnd"/>
      <w:r w:rsidR="00DB1F5D">
        <w:t xml:space="preserve"> and </w:t>
      </w:r>
      <w:proofErr w:type="spellStart"/>
      <w:r w:rsidR="00DB1F5D">
        <w:t>up_marker</w:t>
      </w:r>
      <w:proofErr w:type="spellEnd"/>
      <w:r w:rsidR="00DB1F5D">
        <w:t xml:space="preserve">) </w:t>
      </w:r>
      <w:r>
        <w:t xml:space="preserve">of LOD drop of 1.5, for panicle morphology traits </w:t>
      </w:r>
      <w:bookmarkStart w:id="1" w:name="_Hlk15558996"/>
      <w:r>
        <w:t>(LEN: panicle length; PRM: number of primary branches; SEC: number of secondary branches)</w:t>
      </w:r>
      <w:bookmarkEnd w:id="1"/>
      <w:r>
        <w:t>.</w:t>
      </w:r>
      <w:r w:rsidR="00DB1F5D">
        <w:t xml:space="preserve"> </w:t>
      </w:r>
      <w:r w:rsidR="008B7970">
        <w:t>Weather</w:t>
      </w:r>
      <w:r w:rsidR="00DB1F5D">
        <w:t xml:space="preserve"> </w:t>
      </w:r>
      <w:r w:rsidR="00061E38">
        <w:t>there is genotype by environmental interaction</w:t>
      </w:r>
      <w:r w:rsidR="00DB1F5D">
        <w:t xml:space="preserve"> or not is marked as </w:t>
      </w:r>
      <w:r w:rsidR="00061E38">
        <w:t xml:space="preserve">‘Yes’ or ‘No’ in column G </w:t>
      </w:r>
      <w:r w:rsidR="00DB1F5D">
        <w:t>x E.</w:t>
      </w:r>
    </w:p>
    <w:tbl>
      <w:tblPr>
        <w:tblW w:w="0" w:type="auto"/>
        <w:tblBorders>
          <w:bottom w:val="single" w:sz="4" w:space="0" w:color="auto"/>
        </w:tblBorders>
        <w:tblLook w:val="04A0" w:firstRow="1" w:lastRow="0" w:firstColumn="1" w:lastColumn="0" w:noHBand="0" w:noVBand="1"/>
      </w:tblPr>
      <w:tblGrid>
        <w:gridCol w:w="638"/>
        <w:gridCol w:w="1168"/>
        <w:gridCol w:w="1948"/>
        <w:gridCol w:w="718"/>
        <w:gridCol w:w="1948"/>
        <w:gridCol w:w="1948"/>
        <w:gridCol w:w="558"/>
      </w:tblGrid>
      <w:tr w:rsidR="00DB1F5D" w:rsidRPr="00DB1F5D" w14:paraId="344128B5" w14:textId="77777777" w:rsidTr="003F6372">
        <w:trPr>
          <w:trHeight w:val="300"/>
        </w:trPr>
        <w:tc>
          <w:tcPr>
            <w:tcW w:w="638" w:type="dxa"/>
            <w:tcBorders>
              <w:top w:val="single" w:sz="4" w:space="0" w:color="auto"/>
              <w:bottom w:val="single" w:sz="4" w:space="0" w:color="auto"/>
            </w:tcBorders>
            <w:shd w:val="clear" w:color="auto" w:fill="auto"/>
            <w:noWrap/>
            <w:vAlign w:val="bottom"/>
            <w:hideMark/>
          </w:tcPr>
          <w:p w14:paraId="0786929C" w14:textId="6CF73881" w:rsidR="00DB1F5D" w:rsidRPr="00DB1F5D" w:rsidRDefault="00DB1F5D" w:rsidP="00DB1F5D">
            <w:pPr>
              <w:spacing w:after="0" w:line="240" w:lineRule="auto"/>
              <w:rPr>
                <w:rFonts w:ascii="Calibri" w:eastAsia="Times New Roman" w:hAnsi="Calibri" w:cs="Calibri"/>
                <w:lang w:eastAsia="zh-CN"/>
              </w:rPr>
            </w:pPr>
            <w:bookmarkStart w:id="2" w:name="_Hlk15558832"/>
            <w:r w:rsidRPr="00DB1F5D">
              <w:rPr>
                <w:rFonts w:ascii="Calibri" w:eastAsia="Times New Roman" w:hAnsi="Calibri" w:cs="Calibri"/>
                <w:lang w:eastAsia="zh-CN"/>
              </w:rPr>
              <w:t>trait</w:t>
            </w:r>
          </w:p>
        </w:tc>
        <w:tc>
          <w:tcPr>
            <w:tcW w:w="1168" w:type="dxa"/>
            <w:tcBorders>
              <w:top w:val="single" w:sz="4" w:space="0" w:color="auto"/>
              <w:bottom w:val="single" w:sz="4" w:space="0" w:color="auto"/>
            </w:tcBorders>
            <w:shd w:val="clear" w:color="auto" w:fill="auto"/>
            <w:noWrap/>
            <w:vAlign w:val="bottom"/>
            <w:hideMark/>
          </w:tcPr>
          <w:p w14:paraId="50B3254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QTL</w:t>
            </w:r>
          </w:p>
        </w:tc>
        <w:tc>
          <w:tcPr>
            <w:tcW w:w="0" w:type="auto"/>
            <w:tcBorders>
              <w:top w:val="single" w:sz="4" w:space="0" w:color="auto"/>
              <w:bottom w:val="single" w:sz="4" w:space="0" w:color="auto"/>
            </w:tcBorders>
            <w:shd w:val="clear" w:color="auto" w:fill="auto"/>
            <w:noWrap/>
            <w:vAlign w:val="bottom"/>
            <w:hideMark/>
          </w:tcPr>
          <w:p w14:paraId="03A97D3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MARKER</w:t>
            </w:r>
          </w:p>
        </w:tc>
        <w:tc>
          <w:tcPr>
            <w:tcW w:w="0" w:type="auto"/>
            <w:tcBorders>
              <w:top w:val="single" w:sz="4" w:space="0" w:color="auto"/>
              <w:bottom w:val="single" w:sz="4" w:space="0" w:color="auto"/>
            </w:tcBorders>
            <w:shd w:val="clear" w:color="auto" w:fill="auto"/>
            <w:noWrap/>
            <w:vAlign w:val="bottom"/>
            <w:hideMark/>
          </w:tcPr>
          <w:p w14:paraId="1834925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LOD</w:t>
            </w:r>
          </w:p>
        </w:tc>
        <w:tc>
          <w:tcPr>
            <w:tcW w:w="0" w:type="auto"/>
            <w:tcBorders>
              <w:top w:val="single" w:sz="4" w:space="0" w:color="auto"/>
              <w:bottom w:val="single" w:sz="4" w:space="0" w:color="auto"/>
            </w:tcBorders>
            <w:shd w:val="clear" w:color="auto" w:fill="auto"/>
            <w:noWrap/>
            <w:vAlign w:val="bottom"/>
            <w:hideMark/>
          </w:tcPr>
          <w:p w14:paraId="33DE459B" w14:textId="77777777" w:rsidR="00DB1F5D" w:rsidRPr="00DB1F5D" w:rsidRDefault="00DB1F5D" w:rsidP="00DB1F5D">
            <w:pPr>
              <w:spacing w:after="0" w:line="240" w:lineRule="auto"/>
              <w:rPr>
                <w:rFonts w:ascii="Calibri" w:eastAsia="Times New Roman" w:hAnsi="Calibri" w:cs="Calibri"/>
                <w:lang w:eastAsia="zh-CN"/>
              </w:rPr>
            </w:pPr>
            <w:proofErr w:type="spellStart"/>
            <w:r w:rsidRPr="00DB1F5D">
              <w:rPr>
                <w:rFonts w:ascii="Calibri" w:eastAsia="Times New Roman" w:hAnsi="Calibri" w:cs="Calibri"/>
                <w:lang w:eastAsia="zh-CN"/>
              </w:rPr>
              <w:t>down_marker</w:t>
            </w:r>
            <w:proofErr w:type="spellEnd"/>
          </w:p>
        </w:tc>
        <w:tc>
          <w:tcPr>
            <w:tcW w:w="0" w:type="auto"/>
            <w:tcBorders>
              <w:top w:val="single" w:sz="4" w:space="0" w:color="auto"/>
              <w:bottom w:val="single" w:sz="4" w:space="0" w:color="auto"/>
            </w:tcBorders>
            <w:shd w:val="clear" w:color="auto" w:fill="auto"/>
            <w:noWrap/>
            <w:vAlign w:val="bottom"/>
            <w:hideMark/>
          </w:tcPr>
          <w:p w14:paraId="712121C6" w14:textId="77777777" w:rsidR="00DB1F5D" w:rsidRPr="00DB1F5D" w:rsidRDefault="00DB1F5D" w:rsidP="00DB1F5D">
            <w:pPr>
              <w:spacing w:after="0" w:line="240" w:lineRule="auto"/>
              <w:rPr>
                <w:rFonts w:ascii="Calibri" w:eastAsia="Times New Roman" w:hAnsi="Calibri" w:cs="Calibri"/>
                <w:lang w:eastAsia="zh-CN"/>
              </w:rPr>
            </w:pPr>
            <w:proofErr w:type="spellStart"/>
            <w:r w:rsidRPr="00DB1F5D">
              <w:rPr>
                <w:rFonts w:ascii="Calibri" w:eastAsia="Times New Roman" w:hAnsi="Calibri" w:cs="Calibri"/>
                <w:lang w:eastAsia="zh-CN"/>
              </w:rPr>
              <w:t>up_marker</w:t>
            </w:r>
            <w:proofErr w:type="spellEnd"/>
          </w:p>
        </w:tc>
        <w:tc>
          <w:tcPr>
            <w:tcW w:w="0" w:type="auto"/>
            <w:tcBorders>
              <w:top w:val="single" w:sz="4" w:space="0" w:color="auto"/>
              <w:bottom w:val="single" w:sz="4" w:space="0" w:color="auto"/>
            </w:tcBorders>
            <w:shd w:val="clear" w:color="auto" w:fill="auto"/>
            <w:noWrap/>
            <w:vAlign w:val="bottom"/>
            <w:hideMark/>
          </w:tcPr>
          <w:p w14:paraId="1F199A4C" w14:textId="6C404EBB" w:rsidR="00DB1F5D" w:rsidRPr="00DB1F5D" w:rsidRDefault="00061E38" w:rsidP="00DB1F5D">
            <w:pPr>
              <w:spacing w:after="0" w:line="240" w:lineRule="auto"/>
              <w:rPr>
                <w:rFonts w:ascii="Calibri" w:eastAsia="Times New Roman" w:hAnsi="Calibri" w:cs="Calibri"/>
                <w:lang w:eastAsia="zh-CN"/>
              </w:rPr>
            </w:pPr>
            <w:r>
              <w:rPr>
                <w:rFonts w:ascii="Calibri" w:eastAsia="Times New Roman" w:hAnsi="Calibri" w:cs="Calibri"/>
                <w:lang w:eastAsia="zh-CN"/>
              </w:rPr>
              <w:t>G</w:t>
            </w:r>
            <w:r w:rsidRPr="00DB1F5D">
              <w:rPr>
                <w:rFonts w:ascii="Calibri" w:eastAsia="Times New Roman" w:hAnsi="Calibri" w:cs="Calibri"/>
                <w:lang w:eastAsia="zh-CN"/>
              </w:rPr>
              <w:t>xE</w:t>
            </w:r>
          </w:p>
        </w:tc>
      </w:tr>
      <w:tr w:rsidR="00DB1F5D" w:rsidRPr="00DB1F5D" w14:paraId="2664D9F2" w14:textId="77777777" w:rsidTr="003F6372">
        <w:trPr>
          <w:trHeight w:val="300"/>
        </w:trPr>
        <w:tc>
          <w:tcPr>
            <w:tcW w:w="638" w:type="dxa"/>
            <w:tcBorders>
              <w:top w:val="single" w:sz="4" w:space="0" w:color="auto"/>
            </w:tcBorders>
            <w:shd w:val="clear" w:color="auto" w:fill="auto"/>
            <w:noWrap/>
            <w:vAlign w:val="bottom"/>
            <w:hideMark/>
          </w:tcPr>
          <w:p w14:paraId="42C36C1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tcBorders>
              <w:top w:val="single" w:sz="4" w:space="0" w:color="auto"/>
            </w:tcBorders>
            <w:shd w:val="clear" w:color="auto" w:fill="auto"/>
            <w:noWrap/>
            <w:vAlign w:val="bottom"/>
            <w:hideMark/>
          </w:tcPr>
          <w:p w14:paraId="5E167B0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2K@77.89</w:t>
            </w:r>
          </w:p>
        </w:tc>
        <w:tc>
          <w:tcPr>
            <w:tcW w:w="0" w:type="auto"/>
            <w:tcBorders>
              <w:top w:val="single" w:sz="4" w:space="0" w:color="auto"/>
            </w:tcBorders>
            <w:shd w:val="clear" w:color="auto" w:fill="auto"/>
            <w:noWrap/>
            <w:vAlign w:val="bottom"/>
            <w:hideMark/>
          </w:tcPr>
          <w:p w14:paraId="1F79CE9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Chr02K_62.598826</w:t>
            </w:r>
          </w:p>
        </w:tc>
        <w:tc>
          <w:tcPr>
            <w:tcW w:w="0" w:type="auto"/>
            <w:tcBorders>
              <w:top w:val="single" w:sz="4" w:space="0" w:color="auto"/>
            </w:tcBorders>
            <w:shd w:val="clear" w:color="auto" w:fill="auto"/>
            <w:noWrap/>
            <w:vAlign w:val="bottom"/>
            <w:hideMark/>
          </w:tcPr>
          <w:p w14:paraId="1EF79961"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6.18</w:t>
            </w:r>
          </w:p>
        </w:tc>
        <w:tc>
          <w:tcPr>
            <w:tcW w:w="0" w:type="auto"/>
            <w:tcBorders>
              <w:top w:val="single" w:sz="4" w:space="0" w:color="auto"/>
            </w:tcBorders>
            <w:shd w:val="clear" w:color="auto" w:fill="auto"/>
            <w:noWrap/>
            <w:vAlign w:val="bottom"/>
            <w:hideMark/>
          </w:tcPr>
          <w:p w14:paraId="1BC3D0E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Chr02K_60.739957</w:t>
            </w:r>
          </w:p>
        </w:tc>
        <w:tc>
          <w:tcPr>
            <w:tcW w:w="0" w:type="auto"/>
            <w:tcBorders>
              <w:top w:val="single" w:sz="4" w:space="0" w:color="auto"/>
            </w:tcBorders>
            <w:shd w:val="clear" w:color="auto" w:fill="auto"/>
            <w:noWrap/>
            <w:vAlign w:val="bottom"/>
            <w:hideMark/>
          </w:tcPr>
          <w:p w14:paraId="42318C9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Chr02K_64.045891</w:t>
            </w:r>
          </w:p>
        </w:tc>
        <w:tc>
          <w:tcPr>
            <w:tcW w:w="0" w:type="auto"/>
            <w:tcBorders>
              <w:top w:val="single" w:sz="4" w:space="0" w:color="auto"/>
            </w:tcBorders>
            <w:shd w:val="clear" w:color="auto" w:fill="auto"/>
            <w:noWrap/>
            <w:vAlign w:val="bottom"/>
            <w:hideMark/>
          </w:tcPr>
          <w:p w14:paraId="01EAC3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25D878CE" w14:textId="77777777" w:rsidTr="003F6372">
        <w:trPr>
          <w:trHeight w:val="300"/>
        </w:trPr>
        <w:tc>
          <w:tcPr>
            <w:tcW w:w="638" w:type="dxa"/>
            <w:shd w:val="clear" w:color="auto" w:fill="auto"/>
            <w:noWrap/>
            <w:vAlign w:val="bottom"/>
            <w:hideMark/>
          </w:tcPr>
          <w:p w14:paraId="0609E50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44A4B67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3N@62.06</w:t>
            </w:r>
          </w:p>
        </w:tc>
        <w:tc>
          <w:tcPr>
            <w:tcW w:w="0" w:type="auto"/>
            <w:shd w:val="clear" w:color="auto" w:fill="auto"/>
            <w:noWrap/>
            <w:vAlign w:val="bottom"/>
            <w:hideMark/>
          </w:tcPr>
          <w:p w14:paraId="7DF869B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Chr03N_26.099983</w:t>
            </w:r>
          </w:p>
        </w:tc>
        <w:tc>
          <w:tcPr>
            <w:tcW w:w="0" w:type="auto"/>
            <w:shd w:val="clear" w:color="auto" w:fill="auto"/>
            <w:noWrap/>
            <w:vAlign w:val="bottom"/>
            <w:hideMark/>
          </w:tcPr>
          <w:p w14:paraId="3DFC68B3"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4.29</w:t>
            </w:r>
          </w:p>
        </w:tc>
        <w:tc>
          <w:tcPr>
            <w:tcW w:w="0" w:type="auto"/>
            <w:shd w:val="clear" w:color="auto" w:fill="auto"/>
            <w:noWrap/>
            <w:vAlign w:val="bottom"/>
            <w:hideMark/>
          </w:tcPr>
          <w:p w14:paraId="17495EF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Chr03N_24.521536</w:t>
            </w:r>
          </w:p>
        </w:tc>
        <w:tc>
          <w:tcPr>
            <w:tcW w:w="0" w:type="auto"/>
            <w:shd w:val="clear" w:color="auto" w:fill="auto"/>
            <w:noWrap/>
            <w:vAlign w:val="bottom"/>
            <w:hideMark/>
          </w:tcPr>
          <w:p w14:paraId="74CDE01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Chr03N_30.30364</w:t>
            </w:r>
          </w:p>
        </w:tc>
        <w:tc>
          <w:tcPr>
            <w:tcW w:w="0" w:type="auto"/>
            <w:shd w:val="clear" w:color="auto" w:fill="auto"/>
            <w:noWrap/>
            <w:vAlign w:val="bottom"/>
            <w:hideMark/>
          </w:tcPr>
          <w:p w14:paraId="191A6D1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63DCB97F" w14:textId="77777777" w:rsidTr="003F6372">
        <w:trPr>
          <w:trHeight w:val="300"/>
        </w:trPr>
        <w:tc>
          <w:tcPr>
            <w:tcW w:w="638" w:type="dxa"/>
            <w:shd w:val="clear" w:color="auto" w:fill="auto"/>
            <w:noWrap/>
            <w:vAlign w:val="bottom"/>
            <w:hideMark/>
          </w:tcPr>
          <w:p w14:paraId="7C9F421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04B647B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4K@26.26</w:t>
            </w:r>
          </w:p>
        </w:tc>
        <w:tc>
          <w:tcPr>
            <w:tcW w:w="0" w:type="auto"/>
            <w:shd w:val="clear" w:color="auto" w:fill="auto"/>
            <w:noWrap/>
            <w:vAlign w:val="bottom"/>
            <w:hideMark/>
          </w:tcPr>
          <w:p w14:paraId="5FEAF51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Chr04K_13.041487</w:t>
            </w:r>
          </w:p>
        </w:tc>
        <w:tc>
          <w:tcPr>
            <w:tcW w:w="0" w:type="auto"/>
            <w:shd w:val="clear" w:color="auto" w:fill="auto"/>
            <w:noWrap/>
            <w:vAlign w:val="bottom"/>
            <w:hideMark/>
          </w:tcPr>
          <w:p w14:paraId="53C9BF4F"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4.66</w:t>
            </w:r>
          </w:p>
        </w:tc>
        <w:tc>
          <w:tcPr>
            <w:tcW w:w="0" w:type="auto"/>
            <w:shd w:val="clear" w:color="auto" w:fill="auto"/>
            <w:noWrap/>
            <w:vAlign w:val="bottom"/>
            <w:hideMark/>
          </w:tcPr>
          <w:p w14:paraId="7DBD23D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Chr04K_9.916183</w:t>
            </w:r>
          </w:p>
        </w:tc>
        <w:tc>
          <w:tcPr>
            <w:tcW w:w="0" w:type="auto"/>
            <w:shd w:val="clear" w:color="auto" w:fill="auto"/>
            <w:noWrap/>
            <w:vAlign w:val="bottom"/>
            <w:hideMark/>
          </w:tcPr>
          <w:p w14:paraId="5C160A9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Chr04K_29.613196</w:t>
            </w:r>
          </w:p>
        </w:tc>
        <w:tc>
          <w:tcPr>
            <w:tcW w:w="0" w:type="auto"/>
            <w:shd w:val="clear" w:color="auto" w:fill="auto"/>
            <w:noWrap/>
            <w:vAlign w:val="bottom"/>
            <w:hideMark/>
          </w:tcPr>
          <w:p w14:paraId="54A1F26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71C04CBB" w14:textId="77777777" w:rsidTr="003F6372">
        <w:trPr>
          <w:trHeight w:val="300"/>
        </w:trPr>
        <w:tc>
          <w:tcPr>
            <w:tcW w:w="638" w:type="dxa"/>
            <w:shd w:val="clear" w:color="auto" w:fill="auto"/>
            <w:noWrap/>
            <w:vAlign w:val="bottom"/>
            <w:hideMark/>
          </w:tcPr>
          <w:p w14:paraId="25C52EC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18A15D5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5K@76.02</w:t>
            </w:r>
          </w:p>
        </w:tc>
        <w:tc>
          <w:tcPr>
            <w:tcW w:w="0" w:type="auto"/>
            <w:shd w:val="clear" w:color="auto" w:fill="auto"/>
            <w:noWrap/>
            <w:vAlign w:val="bottom"/>
            <w:hideMark/>
          </w:tcPr>
          <w:p w14:paraId="0187B26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Chr05K_56.620419</w:t>
            </w:r>
          </w:p>
        </w:tc>
        <w:tc>
          <w:tcPr>
            <w:tcW w:w="0" w:type="auto"/>
            <w:shd w:val="clear" w:color="auto" w:fill="auto"/>
            <w:noWrap/>
            <w:vAlign w:val="bottom"/>
            <w:hideMark/>
          </w:tcPr>
          <w:p w14:paraId="4DD39EF6"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4.82</w:t>
            </w:r>
          </w:p>
        </w:tc>
        <w:tc>
          <w:tcPr>
            <w:tcW w:w="0" w:type="auto"/>
            <w:shd w:val="clear" w:color="auto" w:fill="auto"/>
            <w:noWrap/>
            <w:vAlign w:val="bottom"/>
            <w:hideMark/>
          </w:tcPr>
          <w:p w14:paraId="4A862E2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Chr05K_44.678143</w:t>
            </w:r>
          </w:p>
        </w:tc>
        <w:tc>
          <w:tcPr>
            <w:tcW w:w="0" w:type="auto"/>
            <w:shd w:val="clear" w:color="auto" w:fill="auto"/>
            <w:noWrap/>
            <w:vAlign w:val="bottom"/>
            <w:hideMark/>
          </w:tcPr>
          <w:p w14:paraId="18A4FA2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Chr05K_58.488157</w:t>
            </w:r>
          </w:p>
        </w:tc>
        <w:tc>
          <w:tcPr>
            <w:tcW w:w="0" w:type="auto"/>
            <w:shd w:val="clear" w:color="auto" w:fill="auto"/>
            <w:noWrap/>
            <w:vAlign w:val="bottom"/>
            <w:hideMark/>
          </w:tcPr>
          <w:p w14:paraId="0C1DE3F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6BE8E9F1" w14:textId="77777777" w:rsidTr="003F6372">
        <w:trPr>
          <w:trHeight w:val="300"/>
        </w:trPr>
        <w:tc>
          <w:tcPr>
            <w:tcW w:w="638" w:type="dxa"/>
            <w:shd w:val="clear" w:color="auto" w:fill="auto"/>
            <w:noWrap/>
            <w:vAlign w:val="bottom"/>
            <w:hideMark/>
          </w:tcPr>
          <w:p w14:paraId="794C8A6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0865B38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5N@36.27</w:t>
            </w:r>
          </w:p>
        </w:tc>
        <w:tc>
          <w:tcPr>
            <w:tcW w:w="0" w:type="auto"/>
            <w:shd w:val="clear" w:color="auto" w:fill="auto"/>
            <w:noWrap/>
            <w:vAlign w:val="bottom"/>
            <w:hideMark/>
          </w:tcPr>
          <w:p w14:paraId="40A551D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Chr05N_16.511689</w:t>
            </w:r>
          </w:p>
        </w:tc>
        <w:tc>
          <w:tcPr>
            <w:tcW w:w="0" w:type="auto"/>
            <w:shd w:val="clear" w:color="auto" w:fill="auto"/>
            <w:noWrap/>
            <w:vAlign w:val="bottom"/>
            <w:hideMark/>
          </w:tcPr>
          <w:p w14:paraId="214121A9"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3.63</w:t>
            </w:r>
          </w:p>
        </w:tc>
        <w:tc>
          <w:tcPr>
            <w:tcW w:w="0" w:type="auto"/>
            <w:shd w:val="clear" w:color="auto" w:fill="auto"/>
            <w:noWrap/>
            <w:vAlign w:val="bottom"/>
            <w:hideMark/>
          </w:tcPr>
          <w:p w14:paraId="5AB51C9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Chr05N_11.735767</w:t>
            </w:r>
          </w:p>
        </w:tc>
        <w:tc>
          <w:tcPr>
            <w:tcW w:w="0" w:type="auto"/>
            <w:shd w:val="clear" w:color="auto" w:fill="auto"/>
            <w:noWrap/>
            <w:vAlign w:val="bottom"/>
            <w:hideMark/>
          </w:tcPr>
          <w:p w14:paraId="7116E90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Chr05N_47.154718</w:t>
            </w:r>
          </w:p>
        </w:tc>
        <w:tc>
          <w:tcPr>
            <w:tcW w:w="0" w:type="auto"/>
            <w:shd w:val="clear" w:color="auto" w:fill="auto"/>
            <w:noWrap/>
            <w:vAlign w:val="bottom"/>
            <w:hideMark/>
          </w:tcPr>
          <w:p w14:paraId="16F5B9E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7B74727A" w14:textId="77777777" w:rsidTr="003F6372">
        <w:trPr>
          <w:trHeight w:val="300"/>
        </w:trPr>
        <w:tc>
          <w:tcPr>
            <w:tcW w:w="638" w:type="dxa"/>
            <w:shd w:val="clear" w:color="auto" w:fill="auto"/>
            <w:noWrap/>
            <w:vAlign w:val="bottom"/>
            <w:hideMark/>
          </w:tcPr>
          <w:p w14:paraId="6163B06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4872F79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6N@54.19</w:t>
            </w:r>
          </w:p>
        </w:tc>
        <w:tc>
          <w:tcPr>
            <w:tcW w:w="0" w:type="auto"/>
            <w:shd w:val="clear" w:color="auto" w:fill="auto"/>
            <w:noWrap/>
            <w:vAlign w:val="bottom"/>
            <w:hideMark/>
          </w:tcPr>
          <w:p w14:paraId="7D925BE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Chr06N_48.768076</w:t>
            </w:r>
          </w:p>
        </w:tc>
        <w:tc>
          <w:tcPr>
            <w:tcW w:w="0" w:type="auto"/>
            <w:shd w:val="clear" w:color="auto" w:fill="auto"/>
            <w:noWrap/>
            <w:vAlign w:val="bottom"/>
            <w:hideMark/>
          </w:tcPr>
          <w:p w14:paraId="72DDE378"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3.56</w:t>
            </w:r>
          </w:p>
        </w:tc>
        <w:tc>
          <w:tcPr>
            <w:tcW w:w="0" w:type="auto"/>
            <w:shd w:val="clear" w:color="auto" w:fill="auto"/>
            <w:noWrap/>
            <w:vAlign w:val="bottom"/>
            <w:hideMark/>
          </w:tcPr>
          <w:p w14:paraId="456C785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Chr06N_43.871788</w:t>
            </w:r>
          </w:p>
        </w:tc>
        <w:tc>
          <w:tcPr>
            <w:tcW w:w="0" w:type="auto"/>
            <w:shd w:val="clear" w:color="auto" w:fill="auto"/>
            <w:noWrap/>
            <w:vAlign w:val="bottom"/>
            <w:hideMark/>
          </w:tcPr>
          <w:p w14:paraId="6D51844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Chr06N_51.935176</w:t>
            </w:r>
          </w:p>
        </w:tc>
        <w:tc>
          <w:tcPr>
            <w:tcW w:w="0" w:type="auto"/>
            <w:shd w:val="clear" w:color="auto" w:fill="auto"/>
            <w:noWrap/>
            <w:vAlign w:val="bottom"/>
            <w:hideMark/>
          </w:tcPr>
          <w:p w14:paraId="6B4CC6D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2CBB9666" w14:textId="77777777" w:rsidTr="003F6372">
        <w:trPr>
          <w:trHeight w:val="300"/>
        </w:trPr>
        <w:tc>
          <w:tcPr>
            <w:tcW w:w="638" w:type="dxa"/>
            <w:shd w:val="clear" w:color="auto" w:fill="auto"/>
            <w:noWrap/>
            <w:vAlign w:val="bottom"/>
            <w:hideMark/>
          </w:tcPr>
          <w:p w14:paraId="3D58ACD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0DEB1A4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9N@38.02</w:t>
            </w:r>
          </w:p>
        </w:tc>
        <w:tc>
          <w:tcPr>
            <w:tcW w:w="0" w:type="auto"/>
            <w:shd w:val="clear" w:color="auto" w:fill="auto"/>
            <w:noWrap/>
            <w:vAlign w:val="bottom"/>
            <w:hideMark/>
          </w:tcPr>
          <w:p w14:paraId="0F5B164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Chr09N_18.617122</w:t>
            </w:r>
          </w:p>
        </w:tc>
        <w:tc>
          <w:tcPr>
            <w:tcW w:w="0" w:type="auto"/>
            <w:shd w:val="clear" w:color="auto" w:fill="auto"/>
            <w:noWrap/>
            <w:vAlign w:val="bottom"/>
            <w:hideMark/>
          </w:tcPr>
          <w:p w14:paraId="347202B3"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5.82</w:t>
            </w:r>
          </w:p>
        </w:tc>
        <w:tc>
          <w:tcPr>
            <w:tcW w:w="0" w:type="auto"/>
            <w:shd w:val="clear" w:color="auto" w:fill="auto"/>
            <w:noWrap/>
            <w:vAlign w:val="bottom"/>
            <w:hideMark/>
          </w:tcPr>
          <w:p w14:paraId="14DE584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Chr09N_10.880731</w:t>
            </w:r>
          </w:p>
        </w:tc>
        <w:tc>
          <w:tcPr>
            <w:tcW w:w="0" w:type="auto"/>
            <w:shd w:val="clear" w:color="auto" w:fill="auto"/>
            <w:noWrap/>
            <w:vAlign w:val="bottom"/>
            <w:hideMark/>
          </w:tcPr>
          <w:p w14:paraId="30EC9D8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Chr09N_20.831824</w:t>
            </w:r>
          </w:p>
        </w:tc>
        <w:tc>
          <w:tcPr>
            <w:tcW w:w="0" w:type="auto"/>
            <w:shd w:val="clear" w:color="auto" w:fill="auto"/>
            <w:noWrap/>
            <w:vAlign w:val="bottom"/>
            <w:hideMark/>
          </w:tcPr>
          <w:p w14:paraId="00648E8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2BFAB83A" w14:textId="77777777" w:rsidTr="003F6372">
        <w:trPr>
          <w:trHeight w:val="300"/>
        </w:trPr>
        <w:tc>
          <w:tcPr>
            <w:tcW w:w="638" w:type="dxa"/>
            <w:shd w:val="clear" w:color="auto" w:fill="auto"/>
            <w:noWrap/>
            <w:vAlign w:val="bottom"/>
            <w:hideMark/>
          </w:tcPr>
          <w:p w14:paraId="33858EF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25CB502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2K@74.02</w:t>
            </w:r>
          </w:p>
        </w:tc>
        <w:tc>
          <w:tcPr>
            <w:tcW w:w="0" w:type="auto"/>
            <w:shd w:val="clear" w:color="auto" w:fill="auto"/>
            <w:noWrap/>
            <w:vAlign w:val="bottom"/>
            <w:hideMark/>
          </w:tcPr>
          <w:p w14:paraId="03CEFCF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Chr02K_59.503978</w:t>
            </w:r>
          </w:p>
        </w:tc>
        <w:tc>
          <w:tcPr>
            <w:tcW w:w="0" w:type="auto"/>
            <w:shd w:val="clear" w:color="auto" w:fill="auto"/>
            <w:noWrap/>
            <w:vAlign w:val="bottom"/>
            <w:hideMark/>
          </w:tcPr>
          <w:p w14:paraId="36CBD29F"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4.09</w:t>
            </w:r>
          </w:p>
        </w:tc>
        <w:tc>
          <w:tcPr>
            <w:tcW w:w="0" w:type="auto"/>
            <w:shd w:val="clear" w:color="auto" w:fill="auto"/>
            <w:noWrap/>
            <w:vAlign w:val="bottom"/>
            <w:hideMark/>
          </w:tcPr>
          <w:p w14:paraId="445BE26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Chr02K_56.436103</w:t>
            </w:r>
          </w:p>
        </w:tc>
        <w:tc>
          <w:tcPr>
            <w:tcW w:w="0" w:type="auto"/>
            <w:shd w:val="clear" w:color="auto" w:fill="auto"/>
            <w:noWrap/>
            <w:vAlign w:val="bottom"/>
            <w:hideMark/>
          </w:tcPr>
          <w:p w14:paraId="1409253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Chr02K_63.664705</w:t>
            </w:r>
          </w:p>
        </w:tc>
        <w:tc>
          <w:tcPr>
            <w:tcW w:w="0" w:type="auto"/>
            <w:shd w:val="clear" w:color="auto" w:fill="auto"/>
            <w:noWrap/>
            <w:vAlign w:val="bottom"/>
            <w:hideMark/>
          </w:tcPr>
          <w:p w14:paraId="3DE597B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50D0C5D2" w14:textId="77777777" w:rsidTr="003F6372">
        <w:trPr>
          <w:trHeight w:val="300"/>
        </w:trPr>
        <w:tc>
          <w:tcPr>
            <w:tcW w:w="638" w:type="dxa"/>
            <w:shd w:val="clear" w:color="auto" w:fill="auto"/>
            <w:noWrap/>
            <w:vAlign w:val="bottom"/>
            <w:hideMark/>
          </w:tcPr>
          <w:p w14:paraId="4C7A540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0BF5500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2N@66.12</w:t>
            </w:r>
          </w:p>
        </w:tc>
        <w:tc>
          <w:tcPr>
            <w:tcW w:w="0" w:type="auto"/>
            <w:shd w:val="clear" w:color="auto" w:fill="auto"/>
            <w:noWrap/>
            <w:vAlign w:val="bottom"/>
            <w:hideMark/>
          </w:tcPr>
          <w:p w14:paraId="5D0CEA9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Chr02N_55.500715</w:t>
            </w:r>
          </w:p>
        </w:tc>
        <w:tc>
          <w:tcPr>
            <w:tcW w:w="0" w:type="auto"/>
            <w:shd w:val="clear" w:color="auto" w:fill="auto"/>
            <w:noWrap/>
            <w:vAlign w:val="bottom"/>
            <w:hideMark/>
          </w:tcPr>
          <w:p w14:paraId="538FD9CD"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5.52</w:t>
            </w:r>
          </w:p>
        </w:tc>
        <w:tc>
          <w:tcPr>
            <w:tcW w:w="0" w:type="auto"/>
            <w:shd w:val="clear" w:color="auto" w:fill="auto"/>
            <w:noWrap/>
            <w:vAlign w:val="bottom"/>
            <w:hideMark/>
          </w:tcPr>
          <w:p w14:paraId="50A3637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Chr02N_50.387752</w:t>
            </w:r>
          </w:p>
        </w:tc>
        <w:tc>
          <w:tcPr>
            <w:tcW w:w="0" w:type="auto"/>
            <w:shd w:val="clear" w:color="auto" w:fill="auto"/>
            <w:noWrap/>
            <w:vAlign w:val="bottom"/>
            <w:hideMark/>
          </w:tcPr>
          <w:p w14:paraId="272CA05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Chr02N_56.445418</w:t>
            </w:r>
          </w:p>
        </w:tc>
        <w:tc>
          <w:tcPr>
            <w:tcW w:w="0" w:type="auto"/>
            <w:shd w:val="clear" w:color="auto" w:fill="auto"/>
            <w:noWrap/>
            <w:vAlign w:val="bottom"/>
            <w:hideMark/>
          </w:tcPr>
          <w:p w14:paraId="760FA24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0020D58D" w14:textId="77777777" w:rsidTr="003F6372">
        <w:trPr>
          <w:trHeight w:val="300"/>
        </w:trPr>
        <w:tc>
          <w:tcPr>
            <w:tcW w:w="638" w:type="dxa"/>
            <w:shd w:val="clear" w:color="auto" w:fill="auto"/>
            <w:noWrap/>
            <w:vAlign w:val="bottom"/>
            <w:hideMark/>
          </w:tcPr>
          <w:p w14:paraId="7441EF4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2084E5B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3K@38</w:t>
            </w:r>
          </w:p>
        </w:tc>
        <w:tc>
          <w:tcPr>
            <w:tcW w:w="0" w:type="auto"/>
            <w:shd w:val="clear" w:color="auto" w:fill="auto"/>
            <w:noWrap/>
            <w:vAlign w:val="bottom"/>
            <w:hideMark/>
          </w:tcPr>
          <w:p w14:paraId="256D411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Chr03K_17.77051</w:t>
            </w:r>
          </w:p>
        </w:tc>
        <w:tc>
          <w:tcPr>
            <w:tcW w:w="0" w:type="auto"/>
            <w:shd w:val="clear" w:color="auto" w:fill="auto"/>
            <w:noWrap/>
            <w:vAlign w:val="bottom"/>
            <w:hideMark/>
          </w:tcPr>
          <w:p w14:paraId="6B663417"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8.83</w:t>
            </w:r>
          </w:p>
        </w:tc>
        <w:tc>
          <w:tcPr>
            <w:tcW w:w="0" w:type="auto"/>
            <w:shd w:val="clear" w:color="auto" w:fill="auto"/>
            <w:noWrap/>
            <w:vAlign w:val="bottom"/>
            <w:hideMark/>
          </w:tcPr>
          <w:p w14:paraId="4AE94D6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Chr03K_13.323286</w:t>
            </w:r>
          </w:p>
        </w:tc>
        <w:tc>
          <w:tcPr>
            <w:tcW w:w="0" w:type="auto"/>
            <w:shd w:val="clear" w:color="auto" w:fill="auto"/>
            <w:noWrap/>
            <w:vAlign w:val="bottom"/>
            <w:hideMark/>
          </w:tcPr>
          <w:p w14:paraId="734BCD7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Chr03K_20.786505</w:t>
            </w:r>
          </w:p>
        </w:tc>
        <w:tc>
          <w:tcPr>
            <w:tcW w:w="0" w:type="auto"/>
            <w:shd w:val="clear" w:color="auto" w:fill="auto"/>
            <w:noWrap/>
            <w:vAlign w:val="bottom"/>
            <w:hideMark/>
          </w:tcPr>
          <w:p w14:paraId="3E167F5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1F6B303B" w14:textId="77777777" w:rsidTr="003F6372">
        <w:trPr>
          <w:trHeight w:val="300"/>
        </w:trPr>
        <w:tc>
          <w:tcPr>
            <w:tcW w:w="638" w:type="dxa"/>
            <w:shd w:val="clear" w:color="auto" w:fill="auto"/>
            <w:noWrap/>
            <w:vAlign w:val="bottom"/>
            <w:hideMark/>
          </w:tcPr>
          <w:p w14:paraId="06AD2FA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3D09102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5K@14.06</w:t>
            </w:r>
          </w:p>
        </w:tc>
        <w:tc>
          <w:tcPr>
            <w:tcW w:w="0" w:type="auto"/>
            <w:shd w:val="clear" w:color="auto" w:fill="auto"/>
            <w:noWrap/>
            <w:vAlign w:val="bottom"/>
            <w:hideMark/>
          </w:tcPr>
          <w:p w14:paraId="1FBE6AA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Chr05K_7.188103</w:t>
            </w:r>
          </w:p>
        </w:tc>
        <w:tc>
          <w:tcPr>
            <w:tcW w:w="0" w:type="auto"/>
            <w:shd w:val="clear" w:color="auto" w:fill="auto"/>
            <w:noWrap/>
            <w:vAlign w:val="bottom"/>
            <w:hideMark/>
          </w:tcPr>
          <w:p w14:paraId="670E4AD4"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4.90</w:t>
            </w:r>
          </w:p>
        </w:tc>
        <w:tc>
          <w:tcPr>
            <w:tcW w:w="0" w:type="auto"/>
            <w:shd w:val="clear" w:color="auto" w:fill="auto"/>
            <w:noWrap/>
            <w:vAlign w:val="bottom"/>
            <w:hideMark/>
          </w:tcPr>
          <w:p w14:paraId="2A598F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Chr05K_4.388419</w:t>
            </w:r>
          </w:p>
        </w:tc>
        <w:tc>
          <w:tcPr>
            <w:tcW w:w="0" w:type="auto"/>
            <w:shd w:val="clear" w:color="auto" w:fill="auto"/>
            <w:noWrap/>
            <w:vAlign w:val="bottom"/>
            <w:hideMark/>
          </w:tcPr>
          <w:p w14:paraId="48ED297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Chr05K_8.204815</w:t>
            </w:r>
          </w:p>
        </w:tc>
        <w:tc>
          <w:tcPr>
            <w:tcW w:w="0" w:type="auto"/>
            <w:shd w:val="clear" w:color="auto" w:fill="auto"/>
            <w:noWrap/>
            <w:vAlign w:val="bottom"/>
            <w:hideMark/>
          </w:tcPr>
          <w:p w14:paraId="4D5DB81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7DD53D0B" w14:textId="77777777" w:rsidTr="003F6372">
        <w:trPr>
          <w:trHeight w:val="300"/>
        </w:trPr>
        <w:tc>
          <w:tcPr>
            <w:tcW w:w="638" w:type="dxa"/>
            <w:shd w:val="clear" w:color="auto" w:fill="auto"/>
            <w:noWrap/>
            <w:vAlign w:val="bottom"/>
            <w:hideMark/>
          </w:tcPr>
          <w:p w14:paraId="6E2608E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4431162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5N@84.04</w:t>
            </w:r>
          </w:p>
        </w:tc>
        <w:tc>
          <w:tcPr>
            <w:tcW w:w="0" w:type="auto"/>
            <w:shd w:val="clear" w:color="auto" w:fill="auto"/>
            <w:noWrap/>
            <w:vAlign w:val="bottom"/>
            <w:hideMark/>
          </w:tcPr>
          <w:p w14:paraId="2A2AEC7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Chr05N_64.047349</w:t>
            </w:r>
          </w:p>
        </w:tc>
        <w:tc>
          <w:tcPr>
            <w:tcW w:w="0" w:type="auto"/>
            <w:shd w:val="clear" w:color="auto" w:fill="auto"/>
            <w:noWrap/>
            <w:vAlign w:val="bottom"/>
            <w:hideMark/>
          </w:tcPr>
          <w:p w14:paraId="4BBD9FF0"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4.73</w:t>
            </w:r>
          </w:p>
        </w:tc>
        <w:tc>
          <w:tcPr>
            <w:tcW w:w="0" w:type="auto"/>
            <w:shd w:val="clear" w:color="auto" w:fill="auto"/>
            <w:noWrap/>
            <w:vAlign w:val="bottom"/>
            <w:hideMark/>
          </w:tcPr>
          <w:p w14:paraId="44ADA1D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Chr05N_60.974614</w:t>
            </w:r>
          </w:p>
        </w:tc>
        <w:tc>
          <w:tcPr>
            <w:tcW w:w="0" w:type="auto"/>
            <w:shd w:val="clear" w:color="auto" w:fill="auto"/>
            <w:noWrap/>
            <w:vAlign w:val="bottom"/>
            <w:hideMark/>
          </w:tcPr>
          <w:p w14:paraId="54258A6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Chr05N_65.990782</w:t>
            </w:r>
          </w:p>
        </w:tc>
        <w:tc>
          <w:tcPr>
            <w:tcW w:w="0" w:type="auto"/>
            <w:shd w:val="clear" w:color="auto" w:fill="auto"/>
            <w:noWrap/>
            <w:vAlign w:val="bottom"/>
            <w:hideMark/>
          </w:tcPr>
          <w:p w14:paraId="3F3C0D4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2EE6C2CD" w14:textId="77777777" w:rsidTr="003F6372">
        <w:trPr>
          <w:trHeight w:val="300"/>
        </w:trPr>
        <w:tc>
          <w:tcPr>
            <w:tcW w:w="638" w:type="dxa"/>
            <w:shd w:val="clear" w:color="auto" w:fill="auto"/>
            <w:noWrap/>
            <w:vAlign w:val="bottom"/>
            <w:hideMark/>
          </w:tcPr>
          <w:p w14:paraId="7893C54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58053A5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7N@54.06</w:t>
            </w:r>
          </w:p>
        </w:tc>
        <w:tc>
          <w:tcPr>
            <w:tcW w:w="0" w:type="auto"/>
            <w:shd w:val="clear" w:color="auto" w:fill="auto"/>
            <w:noWrap/>
            <w:vAlign w:val="bottom"/>
            <w:hideMark/>
          </w:tcPr>
          <w:p w14:paraId="5B9C294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Chr07N_49.904749</w:t>
            </w:r>
          </w:p>
        </w:tc>
        <w:tc>
          <w:tcPr>
            <w:tcW w:w="0" w:type="auto"/>
            <w:shd w:val="clear" w:color="auto" w:fill="auto"/>
            <w:noWrap/>
            <w:vAlign w:val="bottom"/>
            <w:hideMark/>
          </w:tcPr>
          <w:p w14:paraId="10E90E98"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4.17</w:t>
            </w:r>
          </w:p>
        </w:tc>
        <w:tc>
          <w:tcPr>
            <w:tcW w:w="0" w:type="auto"/>
            <w:shd w:val="clear" w:color="auto" w:fill="auto"/>
            <w:noWrap/>
            <w:vAlign w:val="bottom"/>
            <w:hideMark/>
          </w:tcPr>
          <w:p w14:paraId="57E1A9B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Chr07N_49.035214</w:t>
            </w:r>
          </w:p>
        </w:tc>
        <w:tc>
          <w:tcPr>
            <w:tcW w:w="0" w:type="auto"/>
            <w:shd w:val="clear" w:color="auto" w:fill="auto"/>
            <w:noWrap/>
            <w:vAlign w:val="bottom"/>
            <w:hideMark/>
          </w:tcPr>
          <w:p w14:paraId="0738E32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Chr07N_49.904749</w:t>
            </w:r>
          </w:p>
        </w:tc>
        <w:tc>
          <w:tcPr>
            <w:tcW w:w="0" w:type="auto"/>
            <w:shd w:val="clear" w:color="auto" w:fill="auto"/>
            <w:noWrap/>
            <w:vAlign w:val="bottom"/>
            <w:hideMark/>
          </w:tcPr>
          <w:p w14:paraId="2C6EBA1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76E4D4EF" w14:textId="77777777" w:rsidTr="003F6372">
        <w:trPr>
          <w:trHeight w:val="300"/>
        </w:trPr>
        <w:tc>
          <w:tcPr>
            <w:tcW w:w="638" w:type="dxa"/>
            <w:shd w:val="clear" w:color="auto" w:fill="auto"/>
            <w:noWrap/>
            <w:vAlign w:val="bottom"/>
            <w:hideMark/>
          </w:tcPr>
          <w:p w14:paraId="65CC0B4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5FD8EC8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9N@26.03</w:t>
            </w:r>
          </w:p>
        </w:tc>
        <w:tc>
          <w:tcPr>
            <w:tcW w:w="0" w:type="auto"/>
            <w:shd w:val="clear" w:color="auto" w:fill="auto"/>
            <w:noWrap/>
            <w:vAlign w:val="bottom"/>
            <w:hideMark/>
          </w:tcPr>
          <w:p w14:paraId="1FF77D3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Chr09N_12.531268</w:t>
            </w:r>
          </w:p>
        </w:tc>
        <w:tc>
          <w:tcPr>
            <w:tcW w:w="0" w:type="auto"/>
            <w:shd w:val="clear" w:color="auto" w:fill="auto"/>
            <w:noWrap/>
            <w:vAlign w:val="bottom"/>
            <w:hideMark/>
          </w:tcPr>
          <w:p w14:paraId="748B9652"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4.89</w:t>
            </w:r>
          </w:p>
        </w:tc>
        <w:tc>
          <w:tcPr>
            <w:tcW w:w="0" w:type="auto"/>
            <w:shd w:val="clear" w:color="auto" w:fill="auto"/>
            <w:noWrap/>
            <w:vAlign w:val="bottom"/>
            <w:hideMark/>
          </w:tcPr>
          <w:p w14:paraId="2A12C4D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Chr09N_7.913256</w:t>
            </w:r>
          </w:p>
        </w:tc>
        <w:tc>
          <w:tcPr>
            <w:tcW w:w="0" w:type="auto"/>
            <w:shd w:val="clear" w:color="auto" w:fill="auto"/>
            <w:noWrap/>
            <w:vAlign w:val="bottom"/>
            <w:hideMark/>
          </w:tcPr>
          <w:p w14:paraId="2D16727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Chr09N_21.588445</w:t>
            </w:r>
          </w:p>
        </w:tc>
        <w:tc>
          <w:tcPr>
            <w:tcW w:w="0" w:type="auto"/>
            <w:shd w:val="clear" w:color="auto" w:fill="auto"/>
            <w:noWrap/>
            <w:vAlign w:val="bottom"/>
            <w:hideMark/>
          </w:tcPr>
          <w:p w14:paraId="513199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73750740" w14:textId="77777777" w:rsidTr="003F6372">
        <w:trPr>
          <w:trHeight w:val="300"/>
        </w:trPr>
        <w:tc>
          <w:tcPr>
            <w:tcW w:w="638" w:type="dxa"/>
            <w:shd w:val="clear" w:color="auto" w:fill="auto"/>
            <w:noWrap/>
            <w:vAlign w:val="bottom"/>
            <w:hideMark/>
          </w:tcPr>
          <w:p w14:paraId="43C9C1C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2E1B809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2N@72.03</w:t>
            </w:r>
          </w:p>
        </w:tc>
        <w:tc>
          <w:tcPr>
            <w:tcW w:w="0" w:type="auto"/>
            <w:shd w:val="clear" w:color="auto" w:fill="auto"/>
            <w:noWrap/>
            <w:vAlign w:val="bottom"/>
            <w:hideMark/>
          </w:tcPr>
          <w:p w14:paraId="70216C3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Chr02N_58.696003</w:t>
            </w:r>
          </w:p>
        </w:tc>
        <w:tc>
          <w:tcPr>
            <w:tcW w:w="0" w:type="auto"/>
            <w:shd w:val="clear" w:color="auto" w:fill="auto"/>
            <w:noWrap/>
            <w:vAlign w:val="bottom"/>
            <w:hideMark/>
          </w:tcPr>
          <w:p w14:paraId="4D412C68"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9.46</w:t>
            </w:r>
          </w:p>
        </w:tc>
        <w:tc>
          <w:tcPr>
            <w:tcW w:w="0" w:type="auto"/>
            <w:shd w:val="clear" w:color="auto" w:fill="auto"/>
            <w:noWrap/>
            <w:vAlign w:val="bottom"/>
            <w:hideMark/>
          </w:tcPr>
          <w:p w14:paraId="5851750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Chr02N_54.556579</w:t>
            </w:r>
          </w:p>
        </w:tc>
        <w:tc>
          <w:tcPr>
            <w:tcW w:w="0" w:type="auto"/>
            <w:shd w:val="clear" w:color="auto" w:fill="auto"/>
            <w:noWrap/>
            <w:vAlign w:val="bottom"/>
            <w:hideMark/>
          </w:tcPr>
          <w:p w14:paraId="4804B42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Chr02N_60.798034</w:t>
            </w:r>
          </w:p>
        </w:tc>
        <w:tc>
          <w:tcPr>
            <w:tcW w:w="0" w:type="auto"/>
            <w:shd w:val="clear" w:color="auto" w:fill="auto"/>
            <w:noWrap/>
            <w:vAlign w:val="bottom"/>
            <w:hideMark/>
          </w:tcPr>
          <w:p w14:paraId="777F8DE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5CCD6A7C" w14:textId="77777777" w:rsidTr="003F6372">
        <w:trPr>
          <w:trHeight w:val="300"/>
        </w:trPr>
        <w:tc>
          <w:tcPr>
            <w:tcW w:w="638" w:type="dxa"/>
            <w:shd w:val="clear" w:color="auto" w:fill="auto"/>
            <w:noWrap/>
            <w:vAlign w:val="bottom"/>
            <w:hideMark/>
          </w:tcPr>
          <w:p w14:paraId="6BA4252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1332093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5K@95.5</w:t>
            </w:r>
          </w:p>
        </w:tc>
        <w:tc>
          <w:tcPr>
            <w:tcW w:w="0" w:type="auto"/>
            <w:shd w:val="clear" w:color="auto" w:fill="auto"/>
            <w:noWrap/>
            <w:vAlign w:val="bottom"/>
            <w:hideMark/>
          </w:tcPr>
          <w:p w14:paraId="019901F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Chr05K_60.232411</w:t>
            </w:r>
          </w:p>
        </w:tc>
        <w:tc>
          <w:tcPr>
            <w:tcW w:w="0" w:type="auto"/>
            <w:shd w:val="clear" w:color="auto" w:fill="auto"/>
            <w:noWrap/>
            <w:vAlign w:val="bottom"/>
            <w:hideMark/>
          </w:tcPr>
          <w:p w14:paraId="65ED18ED"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6.22</w:t>
            </w:r>
          </w:p>
        </w:tc>
        <w:tc>
          <w:tcPr>
            <w:tcW w:w="0" w:type="auto"/>
            <w:shd w:val="clear" w:color="auto" w:fill="auto"/>
            <w:noWrap/>
            <w:vAlign w:val="bottom"/>
            <w:hideMark/>
          </w:tcPr>
          <w:p w14:paraId="53E21EC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Chr05K_58.583292</w:t>
            </w:r>
          </w:p>
        </w:tc>
        <w:tc>
          <w:tcPr>
            <w:tcW w:w="0" w:type="auto"/>
            <w:shd w:val="clear" w:color="auto" w:fill="auto"/>
            <w:noWrap/>
            <w:vAlign w:val="bottom"/>
            <w:hideMark/>
          </w:tcPr>
          <w:p w14:paraId="24C3A61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Chr05K_60.232411</w:t>
            </w:r>
          </w:p>
        </w:tc>
        <w:tc>
          <w:tcPr>
            <w:tcW w:w="0" w:type="auto"/>
            <w:shd w:val="clear" w:color="auto" w:fill="auto"/>
            <w:noWrap/>
            <w:vAlign w:val="bottom"/>
            <w:hideMark/>
          </w:tcPr>
          <w:p w14:paraId="00C691A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5FC83DF0" w14:textId="77777777" w:rsidTr="003F6372">
        <w:trPr>
          <w:trHeight w:val="300"/>
        </w:trPr>
        <w:tc>
          <w:tcPr>
            <w:tcW w:w="638" w:type="dxa"/>
            <w:shd w:val="clear" w:color="auto" w:fill="auto"/>
            <w:noWrap/>
            <w:vAlign w:val="bottom"/>
            <w:hideMark/>
          </w:tcPr>
          <w:p w14:paraId="4F7AFC3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3C2A1E1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9K@51.96</w:t>
            </w:r>
          </w:p>
        </w:tc>
        <w:tc>
          <w:tcPr>
            <w:tcW w:w="0" w:type="auto"/>
            <w:shd w:val="clear" w:color="auto" w:fill="auto"/>
            <w:noWrap/>
            <w:vAlign w:val="bottom"/>
            <w:hideMark/>
          </w:tcPr>
          <w:p w14:paraId="36D087C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Chr09K_24.465322</w:t>
            </w:r>
          </w:p>
        </w:tc>
        <w:tc>
          <w:tcPr>
            <w:tcW w:w="0" w:type="auto"/>
            <w:shd w:val="clear" w:color="auto" w:fill="auto"/>
            <w:noWrap/>
            <w:vAlign w:val="bottom"/>
            <w:hideMark/>
          </w:tcPr>
          <w:p w14:paraId="78F6DFEB"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10.37</w:t>
            </w:r>
          </w:p>
        </w:tc>
        <w:tc>
          <w:tcPr>
            <w:tcW w:w="0" w:type="auto"/>
            <w:shd w:val="clear" w:color="auto" w:fill="auto"/>
            <w:noWrap/>
            <w:vAlign w:val="bottom"/>
            <w:hideMark/>
          </w:tcPr>
          <w:p w14:paraId="31F944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Chr09K_19.959778</w:t>
            </w:r>
          </w:p>
        </w:tc>
        <w:tc>
          <w:tcPr>
            <w:tcW w:w="0" w:type="auto"/>
            <w:shd w:val="clear" w:color="auto" w:fill="auto"/>
            <w:noWrap/>
            <w:vAlign w:val="bottom"/>
            <w:hideMark/>
          </w:tcPr>
          <w:p w14:paraId="42CFD99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Chr09K_28.697896</w:t>
            </w:r>
          </w:p>
        </w:tc>
        <w:tc>
          <w:tcPr>
            <w:tcW w:w="0" w:type="auto"/>
            <w:shd w:val="clear" w:color="auto" w:fill="auto"/>
            <w:noWrap/>
            <w:vAlign w:val="bottom"/>
            <w:hideMark/>
          </w:tcPr>
          <w:p w14:paraId="3ADA324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6D4E8FC0" w14:textId="77777777" w:rsidTr="003F6372">
        <w:trPr>
          <w:trHeight w:val="300"/>
        </w:trPr>
        <w:tc>
          <w:tcPr>
            <w:tcW w:w="638" w:type="dxa"/>
            <w:shd w:val="clear" w:color="auto" w:fill="auto"/>
            <w:noWrap/>
            <w:vAlign w:val="bottom"/>
            <w:hideMark/>
          </w:tcPr>
          <w:p w14:paraId="1FFD001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47F985B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9N@38.02</w:t>
            </w:r>
          </w:p>
        </w:tc>
        <w:tc>
          <w:tcPr>
            <w:tcW w:w="0" w:type="auto"/>
            <w:shd w:val="clear" w:color="auto" w:fill="auto"/>
            <w:noWrap/>
            <w:vAlign w:val="bottom"/>
            <w:hideMark/>
          </w:tcPr>
          <w:p w14:paraId="4A8C888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Chr09N_18.617122</w:t>
            </w:r>
          </w:p>
        </w:tc>
        <w:tc>
          <w:tcPr>
            <w:tcW w:w="0" w:type="auto"/>
            <w:shd w:val="clear" w:color="auto" w:fill="auto"/>
            <w:noWrap/>
            <w:vAlign w:val="bottom"/>
            <w:hideMark/>
          </w:tcPr>
          <w:p w14:paraId="0C5DF62A"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9.29</w:t>
            </w:r>
          </w:p>
        </w:tc>
        <w:tc>
          <w:tcPr>
            <w:tcW w:w="0" w:type="auto"/>
            <w:shd w:val="clear" w:color="auto" w:fill="auto"/>
            <w:noWrap/>
            <w:vAlign w:val="bottom"/>
            <w:hideMark/>
          </w:tcPr>
          <w:p w14:paraId="0BB9644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Chr09N_17.684245</w:t>
            </w:r>
          </w:p>
        </w:tc>
        <w:tc>
          <w:tcPr>
            <w:tcW w:w="0" w:type="auto"/>
            <w:shd w:val="clear" w:color="auto" w:fill="auto"/>
            <w:noWrap/>
            <w:vAlign w:val="bottom"/>
            <w:hideMark/>
          </w:tcPr>
          <w:p w14:paraId="6249BCE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Chr09N_19.333648</w:t>
            </w:r>
          </w:p>
        </w:tc>
        <w:tc>
          <w:tcPr>
            <w:tcW w:w="0" w:type="auto"/>
            <w:shd w:val="clear" w:color="auto" w:fill="auto"/>
            <w:noWrap/>
            <w:vAlign w:val="bottom"/>
            <w:hideMark/>
          </w:tcPr>
          <w:p w14:paraId="41E0EF7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bookmarkEnd w:id="2"/>
    </w:tbl>
    <w:p w14:paraId="2949C288" w14:textId="77777777" w:rsidR="00DB1F5D" w:rsidRDefault="00DB1F5D" w:rsidP="00697D97"/>
    <w:p w14:paraId="42840C3E" w14:textId="77777777" w:rsidR="006D294D" w:rsidRDefault="006D294D" w:rsidP="00697D97"/>
    <w:p w14:paraId="7163C87F" w14:textId="77777777" w:rsidR="00DE298B" w:rsidRDefault="00DE298B" w:rsidP="00697D97"/>
    <w:p w14:paraId="20A20EB8" w14:textId="77777777" w:rsidR="00DE298B" w:rsidRDefault="00DE298B" w:rsidP="00697D97"/>
    <w:p w14:paraId="287AE9EB" w14:textId="77777777" w:rsidR="00DE298B" w:rsidRDefault="00DE298B" w:rsidP="00697D97"/>
    <w:p w14:paraId="7BC22559" w14:textId="77777777" w:rsidR="00DE298B" w:rsidRDefault="00DE298B" w:rsidP="00697D97"/>
    <w:p w14:paraId="74A1ADB2" w14:textId="77777777" w:rsidR="00DE298B" w:rsidRDefault="00DE298B" w:rsidP="00697D97"/>
    <w:p w14:paraId="5A8238BE" w14:textId="77777777" w:rsidR="00DE298B" w:rsidRDefault="00DE298B" w:rsidP="00697D97"/>
    <w:p w14:paraId="18909F56" w14:textId="77777777" w:rsidR="00DE298B" w:rsidRDefault="00DE298B" w:rsidP="00697D97"/>
    <w:p w14:paraId="72A4571D" w14:textId="77777777" w:rsidR="00DE298B" w:rsidRDefault="00DE298B" w:rsidP="00697D97"/>
    <w:p w14:paraId="406B1234" w14:textId="77777777" w:rsidR="00DE298B" w:rsidRDefault="00DE298B" w:rsidP="00697D97"/>
    <w:p w14:paraId="12A3135B" w14:textId="77777777" w:rsidR="00DE298B" w:rsidRDefault="00DE298B" w:rsidP="00697D97"/>
    <w:p w14:paraId="637719C0" w14:textId="7B18C1A9" w:rsidR="00CE54BB" w:rsidRDefault="00596368" w:rsidP="00697D97">
      <w:r>
        <w:lastRenderedPageBreak/>
        <w:t xml:space="preserve">Table 2. The environmental factor(s) </w:t>
      </w:r>
      <w:r w:rsidR="006305F2">
        <w:t xml:space="preserve">related to </w:t>
      </w:r>
      <w:r>
        <w:t>t</w:t>
      </w:r>
      <w:r w:rsidR="00CE54BB">
        <w:t>he genotype by environmental interaction for QTLs</w:t>
      </w:r>
      <w:r w:rsidR="00DE298B">
        <w:t xml:space="preserve"> for panicle morphology traits (LEN: panicle length; PRM: number of primary branches; SEC: number of secondary branches). A x B and C x D denote the cross from AP13 x DAC and WBC x VS16, respectively. </w:t>
      </w:r>
      <w:proofErr w:type="spellStart"/>
      <w:r w:rsidR="00DE298B">
        <w:t>Tmean</w:t>
      </w:r>
      <w:proofErr w:type="spellEnd"/>
      <w:r w:rsidR="00DE298B">
        <w:t xml:space="preserve"> and Rainfall are annual mean temperature and total rainfall in 2016, respectively. Asterisk * means significance level of p &lt; 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1553"/>
        <w:gridCol w:w="1547"/>
        <w:gridCol w:w="1549"/>
        <w:gridCol w:w="1550"/>
        <w:gridCol w:w="1604"/>
      </w:tblGrid>
      <w:tr w:rsidR="00CE54BB" w14:paraId="77B91769" w14:textId="77777777" w:rsidTr="003F6372">
        <w:tc>
          <w:tcPr>
            <w:tcW w:w="1547" w:type="dxa"/>
            <w:tcBorders>
              <w:top w:val="single" w:sz="4" w:space="0" w:color="auto"/>
              <w:bottom w:val="single" w:sz="4" w:space="0" w:color="auto"/>
            </w:tcBorders>
          </w:tcPr>
          <w:p w14:paraId="306D83D7" w14:textId="7FD980F2" w:rsidR="00CE54BB" w:rsidRDefault="003A27A6" w:rsidP="00697D97">
            <w:r>
              <w:t>T</w:t>
            </w:r>
            <w:r w:rsidR="00DE298B">
              <w:t>rait</w:t>
            </w:r>
          </w:p>
        </w:tc>
        <w:tc>
          <w:tcPr>
            <w:tcW w:w="1553" w:type="dxa"/>
            <w:tcBorders>
              <w:top w:val="single" w:sz="4" w:space="0" w:color="auto"/>
              <w:bottom w:val="single" w:sz="4" w:space="0" w:color="auto"/>
            </w:tcBorders>
          </w:tcPr>
          <w:p w14:paraId="746794C9" w14:textId="0A56D2F7" w:rsidR="00CE54BB" w:rsidRDefault="00DE298B" w:rsidP="00697D97">
            <w:r>
              <w:t>QTL</w:t>
            </w:r>
          </w:p>
        </w:tc>
        <w:tc>
          <w:tcPr>
            <w:tcW w:w="1547" w:type="dxa"/>
            <w:tcBorders>
              <w:top w:val="single" w:sz="4" w:space="0" w:color="auto"/>
              <w:bottom w:val="single" w:sz="4" w:space="0" w:color="auto"/>
            </w:tcBorders>
          </w:tcPr>
          <w:p w14:paraId="44C3E060" w14:textId="131F64B7" w:rsidR="00CE54BB" w:rsidRDefault="00CE54BB" w:rsidP="00697D97">
            <w:r>
              <w:t>Cross</w:t>
            </w:r>
          </w:p>
        </w:tc>
        <w:tc>
          <w:tcPr>
            <w:tcW w:w="1549" w:type="dxa"/>
            <w:tcBorders>
              <w:top w:val="single" w:sz="4" w:space="0" w:color="auto"/>
              <w:bottom w:val="single" w:sz="4" w:space="0" w:color="auto"/>
            </w:tcBorders>
          </w:tcPr>
          <w:p w14:paraId="2983985F" w14:textId="27F1A4A7" w:rsidR="00CE54BB" w:rsidRDefault="00CE54BB" w:rsidP="00697D97">
            <w:proofErr w:type="spellStart"/>
            <w:r>
              <w:t>Tmean</w:t>
            </w:r>
            <w:proofErr w:type="spellEnd"/>
          </w:p>
        </w:tc>
        <w:tc>
          <w:tcPr>
            <w:tcW w:w="1550" w:type="dxa"/>
            <w:tcBorders>
              <w:top w:val="single" w:sz="4" w:space="0" w:color="auto"/>
              <w:bottom w:val="single" w:sz="4" w:space="0" w:color="auto"/>
            </w:tcBorders>
          </w:tcPr>
          <w:p w14:paraId="387931A7" w14:textId="7FF7DB33" w:rsidR="00CE54BB" w:rsidRDefault="00CE54BB" w:rsidP="00697D97">
            <w:r>
              <w:t>Rainfall</w:t>
            </w:r>
          </w:p>
        </w:tc>
        <w:tc>
          <w:tcPr>
            <w:tcW w:w="1604" w:type="dxa"/>
            <w:tcBorders>
              <w:top w:val="single" w:sz="4" w:space="0" w:color="auto"/>
              <w:bottom w:val="single" w:sz="4" w:space="0" w:color="auto"/>
            </w:tcBorders>
          </w:tcPr>
          <w:p w14:paraId="1C72B5E7" w14:textId="29302162" w:rsidR="00CE54BB" w:rsidRDefault="00CE54BB" w:rsidP="00697D97">
            <w:proofErr w:type="spellStart"/>
            <w:r>
              <w:t>Tmean</w:t>
            </w:r>
            <w:proofErr w:type="spellEnd"/>
            <w:r>
              <w:t>*Rainfall</w:t>
            </w:r>
          </w:p>
        </w:tc>
      </w:tr>
      <w:tr w:rsidR="00CE54BB" w14:paraId="15D21F31" w14:textId="77777777" w:rsidTr="003F6372">
        <w:tc>
          <w:tcPr>
            <w:tcW w:w="1547" w:type="dxa"/>
            <w:tcBorders>
              <w:top w:val="single" w:sz="4" w:space="0" w:color="auto"/>
            </w:tcBorders>
            <w:vAlign w:val="bottom"/>
          </w:tcPr>
          <w:p w14:paraId="12C415B4" w14:textId="5F8E5CC9" w:rsidR="00CE54BB" w:rsidRDefault="00CE54BB" w:rsidP="00CE54BB">
            <w:r w:rsidRPr="00DB1F5D">
              <w:rPr>
                <w:rFonts w:ascii="Calibri" w:eastAsia="Times New Roman" w:hAnsi="Calibri" w:cs="Calibri"/>
                <w:lang w:eastAsia="zh-CN"/>
              </w:rPr>
              <w:t>LEN</w:t>
            </w:r>
          </w:p>
        </w:tc>
        <w:tc>
          <w:tcPr>
            <w:tcW w:w="1553" w:type="dxa"/>
            <w:tcBorders>
              <w:top w:val="single" w:sz="4" w:space="0" w:color="auto"/>
            </w:tcBorders>
            <w:vAlign w:val="bottom"/>
          </w:tcPr>
          <w:p w14:paraId="078145EE" w14:textId="738A70C5" w:rsidR="00CE54BB" w:rsidRDefault="00CE54BB" w:rsidP="00CE54BB">
            <w:r w:rsidRPr="00DB1F5D">
              <w:rPr>
                <w:rFonts w:ascii="Calibri" w:eastAsia="Times New Roman" w:hAnsi="Calibri" w:cs="Calibri"/>
                <w:lang w:eastAsia="zh-CN"/>
              </w:rPr>
              <w:t>3N@62.06</w:t>
            </w:r>
          </w:p>
        </w:tc>
        <w:tc>
          <w:tcPr>
            <w:tcW w:w="1547" w:type="dxa"/>
            <w:tcBorders>
              <w:top w:val="single" w:sz="4" w:space="0" w:color="auto"/>
            </w:tcBorders>
          </w:tcPr>
          <w:p w14:paraId="05645D08" w14:textId="5160D1DE" w:rsidR="00CE54BB" w:rsidRDefault="00CE54BB" w:rsidP="00CE54BB">
            <w:r>
              <w:t>A x B</w:t>
            </w:r>
          </w:p>
        </w:tc>
        <w:tc>
          <w:tcPr>
            <w:tcW w:w="1549" w:type="dxa"/>
            <w:tcBorders>
              <w:top w:val="single" w:sz="4" w:space="0" w:color="auto"/>
            </w:tcBorders>
          </w:tcPr>
          <w:p w14:paraId="7651BDC4" w14:textId="77777777" w:rsidR="00CE54BB" w:rsidRDefault="00CE54BB" w:rsidP="00CE54BB"/>
        </w:tc>
        <w:tc>
          <w:tcPr>
            <w:tcW w:w="1550" w:type="dxa"/>
            <w:tcBorders>
              <w:top w:val="single" w:sz="4" w:space="0" w:color="auto"/>
            </w:tcBorders>
          </w:tcPr>
          <w:p w14:paraId="38E9FB72" w14:textId="77777777" w:rsidR="00CE54BB" w:rsidRDefault="00CE54BB" w:rsidP="00CE54BB"/>
        </w:tc>
        <w:tc>
          <w:tcPr>
            <w:tcW w:w="1604" w:type="dxa"/>
            <w:tcBorders>
              <w:top w:val="single" w:sz="4" w:space="0" w:color="auto"/>
            </w:tcBorders>
          </w:tcPr>
          <w:p w14:paraId="036005FB" w14:textId="77777777" w:rsidR="00CE54BB" w:rsidRDefault="00CE54BB" w:rsidP="00CE54BB"/>
        </w:tc>
      </w:tr>
      <w:tr w:rsidR="00CE54BB" w14:paraId="350AE3D0" w14:textId="77777777" w:rsidTr="003F6372">
        <w:tc>
          <w:tcPr>
            <w:tcW w:w="1547" w:type="dxa"/>
            <w:vAlign w:val="bottom"/>
          </w:tcPr>
          <w:p w14:paraId="39034656" w14:textId="33268CEA" w:rsidR="00CE54BB" w:rsidRDefault="00CE54BB" w:rsidP="00CE54BB"/>
        </w:tc>
        <w:tc>
          <w:tcPr>
            <w:tcW w:w="1553" w:type="dxa"/>
            <w:vAlign w:val="bottom"/>
          </w:tcPr>
          <w:p w14:paraId="4DAE192C" w14:textId="2F6AE6D7" w:rsidR="00CE54BB" w:rsidRDefault="00CE54BB" w:rsidP="00CE54BB"/>
        </w:tc>
        <w:tc>
          <w:tcPr>
            <w:tcW w:w="1547" w:type="dxa"/>
          </w:tcPr>
          <w:p w14:paraId="2B089536" w14:textId="77BBDB93" w:rsidR="00CE54BB" w:rsidRDefault="00CE54BB" w:rsidP="00CE54BB">
            <w:r>
              <w:t>C x D</w:t>
            </w:r>
          </w:p>
        </w:tc>
        <w:tc>
          <w:tcPr>
            <w:tcW w:w="1549" w:type="dxa"/>
          </w:tcPr>
          <w:p w14:paraId="0351057F" w14:textId="6B7B350C" w:rsidR="00CE54BB" w:rsidRDefault="00CE54BB" w:rsidP="00CE54BB">
            <w:r>
              <w:t>*</w:t>
            </w:r>
          </w:p>
        </w:tc>
        <w:tc>
          <w:tcPr>
            <w:tcW w:w="1550" w:type="dxa"/>
          </w:tcPr>
          <w:p w14:paraId="564C9A8C" w14:textId="77777777" w:rsidR="00CE54BB" w:rsidRDefault="00CE54BB" w:rsidP="00CE54BB"/>
        </w:tc>
        <w:tc>
          <w:tcPr>
            <w:tcW w:w="1604" w:type="dxa"/>
          </w:tcPr>
          <w:p w14:paraId="53D1DCA7" w14:textId="77777777" w:rsidR="00CE54BB" w:rsidRDefault="00CE54BB" w:rsidP="00CE54BB"/>
        </w:tc>
      </w:tr>
      <w:tr w:rsidR="00CE54BB" w14:paraId="2886F8F0" w14:textId="77777777" w:rsidTr="003F6372">
        <w:tc>
          <w:tcPr>
            <w:tcW w:w="1547" w:type="dxa"/>
            <w:vAlign w:val="bottom"/>
          </w:tcPr>
          <w:p w14:paraId="7DD260AD" w14:textId="68995DCE" w:rsidR="00CE54BB" w:rsidRDefault="00CE54BB" w:rsidP="00CE54BB">
            <w:r w:rsidRPr="00DB1F5D">
              <w:rPr>
                <w:rFonts w:ascii="Calibri" w:eastAsia="Times New Roman" w:hAnsi="Calibri" w:cs="Calibri"/>
                <w:lang w:eastAsia="zh-CN"/>
              </w:rPr>
              <w:t>LEN</w:t>
            </w:r>
          </w:p>
        </w:tc>
        <w:tc>
          <w:tcPr>
            <w:tcW w:w="1553" w:type="dxa"/>
            <w:vAlign w:val="bottom"/>
          </w:tcPr>
          <w:p w14:paraId="0AD3BCF2" w14:textId="5EB09FA5" w:rsidR="00CE54BB" w:rsidRDefault="00CE54BB" w:rsidP="00CE54BB">
            <w:r w:rsidRPr="00DB1F5D">
              <w:rPr>
                <w:rFonts w:ascii="Calibri" w:eastAsia="Times New Roman" w:hAnsi="Calibri" w:cs="Calibri"/>
                <w:lang w:eastAsia="zh-CN"/>
              </w:rPr>
              <w:t>6N@54.19</w:t>
            </w:r>
          </w:p>
        </w:tc>
        <w:tc>
          <w:tcPr>
            <w:tcW w:w="1547" w:type="dxa"/>
          </w:tcPr>
          <w:p w14:paraId="78043932" w14:textId="22FFA8E4" w:rsidR="00CE54BB" w:rsidRDefault="00CE54BB" w:rsidP="00CE54BB">
            <w:r>
              <w:t>A x B</w:t>
            </w:r>
          </w:p>
        </w:tc>
        <w:tc>
          <w:tcPr>
            <w:tcW w:w="1549" w:type="dxa"/>
          </w:tcPr>
          <w:p w14:paraId="55133696" w14:textId="70AEFDC0" w:rsidR="00CE54BB" w:rsidRDefault="00CE54BB" w:rsidP="00CE54BB">
            <w:r>
              <w:t>*</w:t>
            </w:r>
          </w:p>
        </w:tc>
        <w:tc>
          <w:tcPr>
            <w:tcW w:w="1550" w:type="dxa"/>
          </w:tcPr>
          <w:p w14:paraId="5D220968" w14:textId="77777777" w:rsidR="00CE54BB" w:rsidRDefault="00CE54BB" w:rsidP="00CE54BB"/>
        </w:tc>
        <w:tc>
          <w:tcPr>
            <w:tcW w:w="1604" w:type="dxa"/>
          </w:tcPr>
          <w:p w14:paraId="7DCFD0B7" w14:textId="77777777" w:rsidR="00CE54BB" w:rsidRDefault="00CE54BB" w:rsidP="00CE54BB"/>
        </w:tc>
      </w:tr>
      <w:tr w:rsidR="00CE54BB" w14:paraId="4CBBB014" w14:textId="77777777" w:rsidTr="003F6372">
        <w:tc>
          <w:tcPr>
            <w:tcW w:w="1547" w:type="dxa"/>
            <w:vAlign w:val="bottom"/>
          </w:tcPr>
          <w:p w14:paraId="4E876A2F" w14:textId="77777777" w:rsidR="00CE54BB" w:rsidRPr="00DB1F5D" w:rsidRDefault="00CE54BB" w:rsidP="00CE54BB">
            <w:pPr>
              <w:rPr>
                <w:rFonts w:ascii="Calibri" w:eastAsia="Times New Roman" w:hAnsi="Calibri" w:cs="Calibri"/>
                <w:lang w:eastAsia="zh-CN"/>
              </w:rPr>
            </w:pPr>
          </w:p>
        </w:tc>
        <w:tc>
          <w:tcPr>
            <w:tcW w:w="1553" w:type="dxa"/>
            <w:vAlign w:val="bottom"/>
          </w:tcPr>
          <w:p w14:paraId="3C017B72" w14:textId="77777777" w:rsidR="00CE54BB" w:rsidRPr="00DB1F5D" w:rsidRDefault="00CE54BB" w:rsidP="00CE54BB">
            <w:pPr>
              <w:rPr>
                <w:rFonts w:ascii="Calibri" w:eastAsia="Times New Roman" w:hAnsi="Calibri" w:cs="Calibri"/>
                <w:lang w:eastAsia="zh-CN"/>
              </w:rPr>
            </w:pPr>
          </w:p>
        </w:tc>
        <w:tc>
          <w:tcPr>
            <w:tcW w:w="1547" w:type="dxa"/>
          </w:tcPr>
          <w:p w14:paraId="1FE98D3F" w14:textId="44FEF211" w:rsidR="00CE54BB" w:rsidRDefault="00CE54BB" w:rsidP="00CE54BB">
            <w:r>
              <w:t>C x D</w:t>
            </w:r>
          </w:p>
        </w:tc>
        <w:tc>
          <w:tcPr>
            <w:tcW w:w="1549" w:type="dxa"/>
          </w:tcPr>
          <w:p w14:paraId="5DDC72A4" w14:textId="77777777" w:rsidR="00CE54BB" w:rsidRDefault="00CE54BB" w:rsidP="00CE54BB"/>
        </w:tc>
        <w:tc>
          <w:tcPr>
            <w:tcW w:w="1550" w:type="dxa"/>
          </w:tcPr>
          <w:p w14:paraId="6D26E5BA" w14:textId="77777777" w:rsidR="00CE54BB" w:rsidRDefault="00CE54BB" w:rsidP="00CE54BB"/>
        </w:tc>
        <w:tc>
          <w:tcPr>
            <w:tcW w:w="1604" w:type="dxa"/>
          </w:tcPr>
          <w:p w14:paraId="0847FCD8" w14:textId="77777777" w:rsidR="00CE54BB" w:rsidRDefault="00CE54BB" w:rsidP="00CE54BB"/>
        </w:tc>
      </w:tr>
      <w:tr w:rsidR="00CE54BB" w14:paraId="356B5F30" w14:textId="77777777" w:rsidTr="003F6372">
        <w:tc>
          <w:tcPr>
            <w:tcW w:w="1547" w:type="dxa"/>
            <w:vAlign w:val="bottom"/>
          </w:tcPr>
          <w:p w14:paraId="3AE347B9" w14:textId="504827C5"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PRM</w:t>
            </w:r>
          </w:p>
        </w:tc>
        <w:tc>
          <w:tcPr>
            <w:tcW w:w="1553" w:type="dxa"/>
            <w:vAlign w:val="bottom"/>
          </w:tcPr>
          <w:p w14:paraId="3C436491" w14:textId="7B2A8156"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3K@38</w:t>
            </w:r>
          </w:p>
        </w:tc>
        <w:tc>
          <w:tcPr>
            <w:tcW w:w="1547" w:type="dxa"/>
          </w:tcPr>
          <w:p w14:paraId="0075D8C9" w14:textId="2C337B87" w:rsidR="00CE54BB" w:rsidRDefault="00CE54BB" w:rsidP="00CE54BB">
            <w:r>
              <w:t>A x B</w:t>
            </w:r>
          </w:p>
        </w:tc>
        <w:tc>
          <w:tcPr>
            <w:tcW w:w="1549" w:type="dxa"/>
          </w:tcPr>
          <w:p w14:paraId="440A3CC9" w14:textId="77777777" w:rsidR="00CE54BB" w:rsidRDefault="00CE54BB" w:rsidP="00CE54BB"/>
        </w:tc>
        <w:tc>
          <w:tcPr>
            <w:tcW w:w="1550" w:type="dxa"/>
          </w:tcPr>
          <w:p w14:paraId="57CAB37A" w14:textId="77777777" w:rsidR="00CE54BB" w:rsidRDefault="00CE54BB" w:rsidP="00CE54BB"/>
        </w:tc>
        <w:tc>
          <w:tcPr>
            <w:tcW w:w="1604" w:type="dxa"/>
          </w:tcPr>
          <w:p w14:paraId="16542710" w14:textId="77777777" w:rsidR="00CE54BB" w:rsidRDefault="00CE54BB" w:rsidP="00CE54BB"/>
        </w:tc>
      </w:tr>
      <w:tr w:rsidR="00CE54BB" w14:paraId="4FC79254" w14:textId="77777777" w:rsidTr="003F6372">
        <w:tc>
          <w:tcPr>
            <w:tcW w:w="1547" w:type="dxa"/>
            <w:vAlign w:val="bottom"/>
          </w:tcPr>
          <w:p w14:paraId="563C194E" w14:textId="77777777" w:rsidR="00CE54BB" w:rsidRPr="00DB1F5D" w:rsidRDefault="00CE54BB" w:rsidP="00CE54BB">
            <w:pPr>
              <w:rPr>
                <w:rFonts w:ascii="Calibri" w:eastAsia="Times New Roman" w:hAnsi="Calibri" w:cs="Calibri"/>
                <w:lang w:eastAsia="zh-CN"/>
              </w:rPr>
            </w:pPr>
          </w:p>
        </w:tc>
        <w:tc>
          <w:tcPr>
            <w:tcW w:w="1553" w:type="dxa"/>
            <w:vAlign w:val="bottom"/>
          </w:tcPr>
          <w:p w14:paraId="5AA396A2" w14:textId="77777777" w:rsidR="00CE54BB" w:rsidRPr="00DB1F5D" w:rsidRDefault="00CE54BB" w:rsidP="00CE54BB">
            <w:pPr>
              <w:rPr>
                <w:rFonts w:ascii="Calibri" w:eastAsia="Times New Roman" w:hAnsi="Calibri" w:cs="Calibri"/>
                <w:lang w:eastAsia="zh-CN"/>
              </w:rPr>
            </w:pPr>
          </w:p>
        </w:tc>
        <w:tc>
          <w:tcPr>
            <w:tcW w:w="1547" w:type="dxa"/>
          </w:tcPr>
          <w:p w14:paraId="50D6A1C3" w14:textId="4E16BE1D" w:rsidR="00CE54BB" w:rsidRDefault="00CE54BB" w:rsidP="00CE54BB">
            <w:r>
              <w:t>C x D</w:t>
            </w:r>
          </w:p>
        </w:tc>
        <w:tc>
          <w:tcPr>
            <w:tcW w:w="1549" w:type="dxa"/>
          </w:tcPr>
          <w:p w14:paraId="550898AB" w14:textId="77777777" w:rsidR="00CE54BB" w:rsidRDefault="00CE54BB" w:rsidP="00CE54BB"/>
        </w:tc>
        <w:tc>
          <w:tcPr>
            <w:tcW w:w="1550" w:type="dxa"/>
          </w:tcPr>
          <w:p w14:paraId="45D5C85D" w14:textId="77777777" w:rsidR="00CE54BB" w:rsidRDefault="00CE54BB" w:rsidP="00CE54BB"/>
        </w:tc>
        <w:tc>
          <w:tcPr>
            <w:tcW w:w="1604" w:type="dxa"/>
          </w:tcPr>
          <w:p w14:paraId="3574755F" w14:textId="77777777" w:rsidR="00CE54BB" w:rsidRDefault="00CE54BB" w:rsidP="00CE54BB"/>
        </w:tc>
      </w:tr>
      <w:tr w:rsidR="00CE54BB" w14:paraId="68613567" w14:textId="77777777" w:rsidTr="003F6372">
        <w:tc>
          <w:tcPr>
            <w:tcW w:w="1547" w:type="dxa"/>
            <w:vAlign w:val="bottom"/>
          </w:tcPr>
          <w:p w14:paraId="3F212726" w14:textId="346F3FBA"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PRM</w:t>
            </w:r>
          </w:p>
        </w:tc>
        <w:tc>
          <w:tcPr>
            <w:tcW w:w="1553" w:type="dxa"/>
            <w:vAlign w:val="bottom"/>
          </w:tcPr>
          <w:p w14:paraId="75E7B272" w14:textId="2AECA16E"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5K@14.06</w:t>
            </w:r>
          </w:p>
        </w:tc>
        <w:tc>
          <w:tcPr>
            <w:tcW w:w="1547" w:type="dxa"/>
          </w:tcPr>
          <w:p w14:paraId="54B5B0DB" w14:textId="1F232570" w:rsidR="00CE54BB" w:rsidRDefault="00CE54BB" w:rsidP="00CE54BB">
            <w:r>
              <w:t>A x B</w:t>
            </w:r>
          </w:p>
        </w:tc>
        <w:tc>
          <w:tcPr>
            <w:tcW w:w="1549" w:type="dxa"/>
          </w:tcPr>
          <w:p w14:paraId="594E9BB2" w14:textId="04499A47" w:rsidR="00CE54BB" w:rsidRDefault="00CE54BB" w:rsidP="00CE54BB">
            <w:r>
              <w:t>*</w:t>
            </w:r>
          </w:p>
        </w:tc>
        <w:tc>
          <w:tcPr>
            <w:tcW w:w="1550" w:type="dxa"/>
          </w:tcPr>
          <w:p w14:paraId="37B7E936" w14:textId="561B346F" w:rsidR="00CE54BB" w:rsidRDefault="00DE298B" w:rsidP="00CE54BB">
            <w:r>
              <w:t>*</w:t>
            </w:r>
          </w:p>
        </w:tc>
        <w:tc>
          <w:tcPr>
            <w:tcW w:w="1604" w:type="dxa"/>
          </w:tcPr>
          <w:p w14:paraId="257A8586" w14:textId="16B03C16" w:rsidR="00CE54BB" w:rsidRDefault="00CE54BB" w:rsidP="00CE54BB">
            <w:r>
              <w:t>*</w:t>
            </w:r>
          </w:p>
        </w:tc>
      </w:tr>
      <w:tr w:rsidR="00CE54BB" w14:paraId="5FF96AB8" w14:textId="77777777" w:rsidTr="003F6372">
        <w:tc>
          <w:tcPr>
            <w:tcW w:w="1547" w:type="dxa"/>
            <w:vAlign w:val="bottom"/>
          </w:tcPr>
          <w:p w14:paraId="5A9417B1" w14:textId="77777777" w:rsidR="00CE54BB" w:rsidRPr="00DB1F5D" w:rsidRDefault="00CE54BB" w:rsidP="00CE54BB">
            <w:pPr>
              <w:rPr>
                <w:rFonts w:ascii="Calibri" w:eastAsia="Times New Roman" w:hAnsi="Calibri" w:cs="Calibri"/>
                <w:lang w:eastAsia="zh-CN"/>
              </w:rPr>
            </w:pPr>
          </w:p>
        </w:tc>
        <w:tc>
          <w:tcPr>
            <w:tcW w:w="1553" w:type="dxa"/>
            <w:vAlign w:val="bottom"/>
          </w:tcPr>
          <w:p w14:paraId="7E5DC135" w14:textId="77777777" w:rsidR="00CE54BB" w:rsidRPr="00DB1F5D" w:rsidRDefault="00CE54BB" w:rsidP="00CE54BB">
            <w:pPr>
              <w:rPr>
                <w:rFonts w:ascii="Calibri" w:eastAsia="Times New Roman" w:hAnsi="Calibri" w:cs="Calibri"/>
                <w:lang w:eastAsia="zh-CN"/>
              </w:rPr>
            </w:pPr>
          </w:p>
        </w:tc>
        <w:tc>
          <w:tcPr>
            <w:tcW w:w="1547" w:type="dxa"/>
          </w:tcPr>
          <w:p w14:paraId="6DC9FB46" w14:textId="225FFD6D" w:rsidR="00CE54BB" w:rsidRDefault="00CE54BB" w:rsidP="00CE54BB">
            <w:r>
              <w:t>C x D</w:t>
            </w:r>
          </w:p>
        </w:tc>
        <w:tc>
          <w:tcPr>
            <w:tcW w:w="1549" w:type="dxa"/>
          </w:tcPr>
          <w:p w14:paraId="78B9915B" w14:textId="77777777" w:rsidR="00CE54BB" w:rsidRDefault="00CE54BB" w:rsidP="00CE54BB"/>
        </w:tc>
        <w:tc>
          <w:tcPr>
            <w:tcW w:w="1550" w:type="dxa"/>
          </w:tcPr>
          <w:p w14:paraId="020A43AD" w14:textId="77777777" w:rsidR="00CE54BB" w:rsidRDefault="00CE54BB" w:rsidP="00CE54BB"/>
        </w:tc>
        <w:tc>
          <w:tcPr>
            <w:tcW w:w="1604" w:type="dxa"/>
          </w:tcPr>
          <w:p w14:paraId="5ED301D0" w14:textId="77777777" w:rsidR="00CE54BB" w:rsidRDefault="00CE54BB" w:rsidP="00CE54BB"/>
        </w:tc>
      </w:tr>
      <w:tr w:rsidR="00CE54BB" w14:paraId="526479F0" w14:textId="77777777" w:rsidTr="003F6372">
        <w:tc>
          <w:tcPr>
            <w:tcW w:w="1547" w:type="dxa"/>
            <w:vAlign w:val="bottom"/>
          </w:tcPr>
          <w:p w14:paraId="0D924A1C" w14:textId="48F2AEF5"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PRM</w:t>
            </w:r>
          </w:p>
        </w:tc>
        <w:tc>
          <w:tcPr>
            <w:tcW w:w="1553" w:type="dxa"/>
            <w:vAlign w:val="bottom"/>
          </w:tcPr>
          <w:p w14:paraId="4031D50F" w14:textId="212EDC0D"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7N@54.06</w:t>
            </w:r>
          </w:p>
        </w:tc>
        <w:tc>
          <w:tcPr>
            <w:tcW w:w="1547" w:type="dxa"/>
          </w:tcPr>
          <w:p w14:paraId="52C785D4" w14:textId="5D901395" w:rsidR="00CE54BB" w:rsidRDefault="00CE54BB" w:rsidP="00CE54BB">
            <w:r>
              <w:t>A x B</w:t>
            </w:r>
          </w:p>
        </w:tc>
        <w:tc>
          <w:tcPr>
            <w:tcW w:w="1549" w:type="dxa"/>
          </w:tcPr>
          <w:p w14:paraId="4B65E6A3" w14:textId="77777777" w:rsidR="00CE54BB" w:rsidRDefault="00CE54BB" w:rsidP="00CE54BB"/>
        </w:tc>
        <w:tc>
          <w:tcPr>
            <w:tcW w:w="1550" w:type="dxa"/>
          </w:tcPr>
          <w:p w14:paraId="1F4DE624" w14:textId="77777777" w:rsidR="00CE54BB" w:rsidRDefault="00CE54BB" w:rsidP="00CE54BB"/>
        </w:tc>
        <w:tc>
          <w:tcPr>
            <w:tcW w:w="1604" w:type="dxa"/>
          </w:tcPr>
          <w:p w14:paraId="0A82AE46" w14:textId="77777777" w:rsidR="00CE54BB" w:rsidRDefault="00CE54BB" w:rsidP="00CE54BB"/>
        </w:tc>
      </w:tr>
      <w:tr w:rsidR="00CE54BB" w14:paraId="4D6173B8" w14:textId="77777777" w:rsidTr="003F6372">
        <w:tc>
          <w:tcPr>
            <w:tcW w:w="1547" w:type="dxa"/>
            <w:vAlign w:val="bottom"/>
          </w:tcPr>
          <w:p w14:paraId="1148B6B1" w14:textId="77777777" w:rsidR="00CE54BB" w:rsidRPr="00DB1F5D" w:rsidRDefault="00CE54BB" w:rsidP="00CE54BB">
            <w:pPr>
              <w:rPr>
                <w:rFonts w:ascii="Calibri" w:eastAsia="Times New Roman" w:hAnsi="Calibri" w:cs="Calibri"/>
                <w:lang w:eastAsia="zh-CN"/>
              </w:rPr>
            </w:pPr>
          </w:p>
        </w:tc>
        <w:tc>
          <w:tcPr>
            <w:tcW w:w="1553" w:type="dxa"/>
            <w:vAlign w:val="bottom"/>
          </w:tcPr>
          <w:p w14:paraId="2D9551C9" w14:textId="77777777" w:rsidR="00CE54BB" w:rsidRPr="00DB1F5D" w:rsidRDefault="00CE54BB" w:rsidP="00CE54BB">
            <w:pPr>
              <w:rPr>
                <w:rFonts w:ascii="Calibri" w:eastAsia="Times New Roman" w:hAnsi="Calibri" w:cs="Calibri"/>
                <w:lang w:eastAsia="zh-CN"/>
              </w:rPr>
            </w:pPr>
          </w:p>
        </w:tc>
        <w:tc>
          <w:tcPr>
            <w:tcW w:w="1547" w:type="dxa"/>
          </w:tcPr>
          <w:p w14:paraId="546F494F" w14:textId="7B4C32DC" w:rsidR="00CE54BB" w:rsidRDefault="00CE54BB" w:rsidP="00CE54BB">
            <w:r>
              <w:t>C x D</w:t>
            </w:r>
          </w:p>
        </w:tc>
        <w:tc>
          <w:tcPr>
            <w:tcW w:w="1549" w:type="dxa"/>
          </w:tcPr>
          <w:p w14:paraId="4C5C4BDE" w14:textId="01FDC481" w:rsidR="00CE54BB" w:rsidRDefault="00CE54BB" w:rsidP="00CE54BB">
            <w:r>
              <w:t>*</w:t>
            </w:r>
          </w:p>
        </w:tc>
        <w:tc>
          <w:tcPr>
            <w:tcW w:w="1550" w:type="dxa"/>
          </w:tcPr>
          <w:p w14:paraId="0BD75A45" w14:textId="77777777" w:rsidR="00CE54BB" w:rsidRDefault="00CE54BB" w:rsidP="00CE54BB"/>
        </w:tc>
        <w:tc>
          <w:tcPr>
            <w:tcW w:w="1604" w:type="dxa"/>
          </w:tcPr>
          <w:p w14:paraId="5FAEBBA4" w14:textId="77777777" w:rsidR="00CE54BB" w:rsidRDefault="00CE54BB" w:rsidP="00CE54BB"/>
        </w:tc>
      </w:tr>
      <w:tr w:rsidR="00CE54BB" w14:paraId="5B326E6C" w14:textId="77777777" w:rsidTr="003F6372">
        <w:tc>
          <w:tcPr>
            <w:tcW w:w="1547" w:type="dxa"/>
            <w:vAlign w:val="bottom"/>
          </w:tcPr>
          <w:p w14:paraId="4A492A8C" w14:textId="4587F86F"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SEC</w:t>
            </w:r>
          </w:p>
        </w:tc>
        <w:tc>
          <w:tcPr>
            <w:tcW w:w="1553" w:type="dxa"/>
            <w:vAlign w:val="bottom"/>
          </w:tcPr>
          <w:p w14:paraId="73F20E14" w14:textId="0C5299C9"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9K@51.96</w:t>
            </w:r>
          </w:p>
        </w:tc>
        <w:tc>
          <w:tcPr>
            <w:tcW w:w="1547" w:type="dxa"/>
          </w:tcPr>
          <w:p w14:paraId="28131193" w14:textId="75701678" w:rsidR="00CE54BB" w:rsidRDefault="00CE54BB" w:rsidP="00CE54BB">
            <w:r>
              <w:t>A x B</w:t>
            </w:r>
          </w:p>
        </w:tc>
        <w:tc>
          <w:tcPr>
            <w:tcW w:w="1549" w:type="dxa"/>
          </w:tcPr>
          <w:p w14:paraId="7E95F510" w14:textId="77777777" w:rsidR="00CE54BB" w:rsidRDefault="00CE54BB" w:rsidP="00CE54BB"/>
        </w:tc>
        <w:tc>
          <w:tcPr>
            <w:tcW w:w="1550" w:type="dxa"/>
          </w:tcPr>
          <w:p w14:paraId="59E75DA6" w14:textId="77777777" w:rsidR="00CE54BB" w:rsidRDefault="00CE54BB" w:rsidP="00CE54BB"/>
        </w:tc>
        <w:tc>
          <w:tcPr>
            <w:tcW w:w="1604" w:type="dxa"/>
          </w:tcPr>
          <w:p w14:paraId="1C008671" w14:textId="77777777" w:rsidR="00CE54BB" w:rsidRDefault="00CE54BB" w:rsidP="00CE54BB"/>
        </w:tc>
      </w:tr>
      <w:tr w:rsidR="00CE54BB" w14:paraId="4E2C3D3C" w14:textId="77777777" w:rsidTr="003F6372">
        <w:tc>
          <w:tcPr>
            <w:tcW w:w="1547" w:type="dxa"/>
            <w:tcBorders>
              <w:bottom w:val="single" w:sz="4" w:space="0" w:color="auto"/>
            </w:tcBorders>
            <w:vAlign w:val="bottom"/>
          </w:tcPr>
          <w:p w14:paraId="49E58974" w14:textId="77777777" w:rsidR="00CE54BB" w:rsidRPr="00DB1F5D" w:rsidRDefault="00CE54BB" w:rsidP="00CE54BB">
            <w:pPr>
              <w:rPr>
                <w:rFonts w:ascii="Calibri" w:eastAsia="Times New Roman" w:hAnsi="Calibri" w:cs="Calibri"/>
                <w:lang w:eastAsia="zh-CN"/>
              </w:rPr>
            </w:pPr>
          </w:p>
        </w:tc>
        <w:tc>
          <w:tcPr>
            <w:tcW w:w="1553" w:type="dxa"/>
            <w:tcBorders>
              <w:bottom w:val="single" w:sz="4" w:space="0" w:color="auto"/>
            </w:tcBorders>
            <w:vAlign w:val="bottom"/>
          </w:tcPr>
          <w:p w14:paraId="05D6FAB1" w14:textId="77777777" w:rsidR="00CE54BB" w:rsidRPr="00DB1F5D" w:rsidRDefault="00CE54BB" w:rsidP="00CE54BB">
            <w:pPr>
              <w:rPr>
                <w:rFonts w:ascii="Calibri" w:eastAsia="Times New Roman" w:hAnsi="Calibri" w:cs="Calibri"/>
                <w:lang w:eastAsia="zh-CN"/>
              </w:rPr>
            </w:pPr>
          </w:p>
        </w:tc>
        <w:tc>
          <w:tcPr>
            <w:tcW w:w="1547" w:type="dxa"/>
            <w:tcBorders>
              <w:bottom w:val="single" w:sz="4" w:space="0" w:color="auto"/>
            </w:tcBorders>
          </w:tcPr>
          <w:p w14:paraId="235BF9B9" w14:textId="681AE976" w:rsidR="00CE54BB" w:rsidRDefault="00CE54BB" w:rsidP="00CE54BB">
            <w:r>
              <w:t>C x D</w:t>
            </w:r>
          </w:p>
        </w:tc>
        <w:tc>
          <w:tcPr>
            <w:tcW w:w="1549" w:type="dxa"/>
            <w:tcBorders>
              <w:bottom w:val="single" w:sz="4" w:space="0" w:color="auto"/>
            </w:tcBorders>
          </w:tcPr>
          <w:p w14:paraId="1A87E223" w14:textId="77777777" w:rsidR="00CE54BB" w:rsidRDefault="00CE54BB" w:rsidP="00CE54BB"/>
        </w:tc>
        <w:tc>
          <w:tcPr>
            <w:tcW w:w="1550" w:type="dxa"/>
            <w:tcBorders>
              <w:bottom w:val="single" w:sz="4" w:space="0" w:color="auto"/>
            </w:tcBorders>
          </w:tcPr>
          <w:p w14:paraId="69FB0778" w14:textId="77777777" w:rsidR="00CE54BB" w:rsidRDefault="00CE54BB" w:rsidP="00CE54BB"/>
        </w:tc>
        <w:tc>
          <w:tcPr>
            <w:tcW w:w="1604" w:type="dxa"/>
            <w:tcBorders>
              <w:bottom w:val="single" w:sz="4" w:space="0" w:color="auto"/>
            </w:tcBorders>
          </w:tcPr>
          <w:p w14:paraId="5E5A6D9E" w14:textId="77777777" w:rsidR="00CE54BB" w:rsidRDefault="00CE54BB" w:rsidP="00CE54BB"/>
        </w:tc>
      </w:tr>
    </w:tbl>
    <w:p w14:paraId="3CCD7772" w14:textId="036C0E8E" w:rsidR="00CE54BB" w:rsidRDefault="00CE54BB" w:rsidP="00697D97">
      <w:pPr>
        <w:sectPr w:rsidR="00CE54BB">
          <w:pgSz w:w="12240" w:h="15840"/>
          <w:pgMar w:top="1440" w:right="1440" w:bottom="1440" w:left="1440" w:header="720" w:footer="720" w:gutter="0"/>
          <w:cols w:space="720"/>
          <w:docGrid w:linePitch="360"/>
        </w:sectPr>
      </w:pPr>
    </w:p>
    <w:p w14:paraId="75AA1A83" w14:textId="2E3879CF" w:rsidR="00E96DFF" w:rsidRDefault="00E96DFF" w:rsidP="00697D97">
      <w:r>
        <w:lastRenderedPageBreak/>
        <w:t>List of figures</w:t>
      </w:r>
    </w:p>
    <w:p w14:paraId="5ADDDFF4" w14:textId="4CCFEA1E" w:rsidR="00E96DFF" w:rsidRDefault="00C73917" w:rsidP="00697D97">
      <w:r>
        <w:t>Figu</w:t>
      </w:r>
      <w:r w:rsidR="001A30DB">
        <w:t xml:space="preserve">re 1. The geographic location and climate at 10 field sites. (A). The 10 sites across the latitudinal gradients from southern Texas to North Dakota. The experimental sites in this study span much of the natural occurrence habitat of switchgrass (the green layer with buffered points). (B). The mean temperature and annual rainfall </w:t>
      </w:r>
      <w:r w:rsidR="00917C47">
        <w:t>of the 10 sites for the study year in 2016 (ordered from south to north).</w:t>
      </w:r>
    </w:p>
    <w:p w14:paraId="5F556035" w14:textId="6958ACE4" w:rsidR="00917C47" w:rsidRDefault="00917C47" w:rsidP="00697D97"/>
    <w:p w14:paraId="09ED864A" w14:textId="338BA7C8" w:rsidR="00917C47" w:rsidRDefault="00917C47" w:rsidP="00697D97">
      <w:r>
        <w:t>Figure 2. The phenotypic distribution of the F2 population, and the phenotypic means of the four grandparents (lowland AP13, WBC and upland DAC and VS16) for panicle length (LEN), number of primary branches (PRM), and number of secondary branches (SEC) across the 10 field sites (ordered from south to north).</w:t>
      </w:r>
    </w:p>
    <w:p w14:paraId="0FB07256" w14:textId="7F1EF613" w:rsidR="00917C47" w:rsidRDefault="00917C47" w:rsidP="00697D97"/>
    <w:p w14:paraId="61D336E1" w14:textId="69CD01E6" w:rsidR="00917C47" w:rsidRDefault="00917C47" w:rsidP="00697D97">
      <w:r>
        <w:t>Figure 3. The summary of QTLs and genotype by environment interaction (marked as * in red) identified for panicle length (LEN), number of primary branches (PRM), and number of secondary branches (SEC)</w:t>
      </w:r>
      <w:r w:rsidR="001C6A36">
        <w:t>, along with QTLs from flowering (FL50) and plant height (HT) identified from our previous study</w:t>
      </w:r>
      <w:r>
        <w:t xml:space="preserve">. </w:t>
      </w:r>
    </w:p>
    <w:p w14:paraId="60F8A0A5" w14:textId="3D37C11E" w:rsidR="00917C47" w:rsidRDefault="00917C47" w:rsidP="00697D97"/>
    <w:p w14:paraId="1EF87A4F" w14:textId="7921DAF4" w:rsidR="00917C47" w:rsidRDefault="00917C47" w:rsidP="00697D97">
      <w:r>
        <w:t>Figure 4. The additive effects of each QTL identified for panicle length (LEN), number of primary branches (PRM), and number of secondary branches (SEC) across geographic regions.</w:t>
      </w:r>
    </w:p>
    <w:p w14:paraId="22D9B32F" w14:textId="14BBE553" w:rsidR="00917C47" w:rsidRDefault="00917C47" w:rsidP="00697D97"/>
    <w:p w14:paraId="6DF37FB8" w14:textId="50CED819" w:rsidR="00E102C2" w:rsidRDefault="00917C47" w:rsidP="00381696">
      <w:r>
        <w:t xml:space="preserve">Figure 5. The evaluation of the multienvironment mixed model </w:t>
      </w:r>
      <w:r w:rsidR="00E102C2">
        <w:t>(</w:t>
      </w:r>
      <w:r w:rsidR="00381696">
        <w:t>E</w:t>
      </w:r>
      <w:r w:rsidR="00E102C2">
        <w:t xml:space="preserve">q. 1) </w:t>
      </w:r>
      <w:r>
        <w:t>using independent datasets from the three sites (KBSM, CLMB, and PKLE) for panicle length (LEN), number of primary branches (PRM), and number of secondary branches (SEC)</w:t>
      </w:r>
      <w:r w:rsidR="00E102C2">
        <w:t>.</w:t>
      </w:r>
    </w:p>
    <w:p w14:paraId="35E063A3" w14:textId="77777777" w:rsidR="004463D3" w:rsidRDefault="004463D3" w:rsidP="00381696">
      <w:pPr>
        <w:sectPr w:rsidR="004463D3">
          <w:pgSz w:w="12240" w:h="15840"/>
          <w:pgMar w:top="1440" w:right="1440" w:bottom="1440" w:left="1440" w:header="720" w:footer="720" w:gutter="0"/>
          <w:cols w:space="720"/>
          <w:docGrid w:linePitch="360"/>
        </w:sectPr>
      </w:pPr>
    </w:p>
    <w:p w14:paraId="2A450D2D" w14:textId="3BCA44D5" w:rsidR="004463D3" w:rsidRDefault="004463D3" w:rsidP="000137C4">
      <w:pPr>
        <w:jc w:val="center"/>
      </w:pPr>
      <w:r>
        <w:rPr>
          <w:noProof/>
        </w:rPr>
        <w:lastRenderedPageBreak/>
        <w:drawing>
          <wp:inline distT="0" distB="0" distL="0" distR="0" wp14:anchorId="0028DE3F" wp14:editId="7DEE589C">
            <wp:extent cx="5033593" cy="7609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_Xiaoyu_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34717" cy="7611097"/>
                    </a:xfrm>
                    <a:prstGeom prst="rect">
                      <a:avLst/>
                    </a:prstGeom>
                  </pic:spPr>
                </pic:pic>
              </a:graphicData>
            </a:graphic>
          </wp:inline>
        </w:drawing>
      </w:r>
    </w:p>
    <w:p w14:paraId="59BF6DAD" w14:textId="252511C8" w:rsidR="004463D3" w:rsidRDefault="004463D3" w:rsidP="004463D3">
      <w:r>
        <w:t>Figure 1</w:t>
      </w:r>
    </w:p>
    <w:p w14:paraId="1A27F83B" w14:textId="0A6AA95B" w:rsidR="004463D3" w:rsidRDefault="004463D3" w:rsidP="004463D3"/>
    <w:p w14:paraId="38EFCB32" w14:textId="7DC603B8" w:rsidR="004463D3" w:rsidRDefault="004463D3" w:rsidP="000137C4">
      <w:pPr>
        <w:jc w:val="center"/>
      </w:pPr>
      <w:r>
        <w:rPr>
          <w:noProof/>
        </w:rPr>
        <w:lastRenderedPageBreak/>
        <w:drawing>
          <wp:inline distT="0" distB="0" distL="0" distR="0" wp14:anchorId="6C9767A7" wp14:editId="19B988E9">
            <wp:extent cx="5769876" cy="3712472"/>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olinPlotForPopulation_Fig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9876" cy="3712472"/>
                    </a:xfrm>
                    <a:prstGeom prst="rect">
                      <a:avLst/>
                    </a:prstGeom>
                  </pic:spPr>
                </pic:pic>
              </a:graphicData>
            </a:graphic>
          </wp:inline>
        </w:drawing>
      </w:r>
    </w:p>
    <w:p w14:paraId="3089A913" w14:textId="738BBE7A" w:rsidR="004463D3" w:rsidRDefault="004463D3" w:rsidP="004463D3">
      <w:r>
        <w:t>Figure 2</w:t>
      </w:r>
    </w:p>
    <w:p w14:paraId="53173F16" w14:textId="77777777" w:rsidR="00390A12" w:rsidRDefault="00390A12" w:rsidP="004463D3"/>
    <w:p w14:paraId="2E02E302" w14:textId="69EC6D27" w:rsidR="004463D3" w:rsidRDefault="004463D3" w:rsidP="004463D3">
      <w:r>
        <w:rPr>
          <w:noProof/>
        </w:rPr>
        <w:lastRenderedPageBreak/>
        <w:drawing>
          <wp:inline distT="0" distB="0" distL="0" distR="0" wp14:anchorId="26BF959B" wp14:editId="5D0D7FCB">
            <wp:extent cx="5943600" cy="405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8285"/>
                    </a:xfrm>
                    <a:prstGeom prst="rect">
                      <a:avLst/>
                    </a:prstGeom>
                  </pic:spPr>
                </pic:pic>
              </a:graphicData>
            </a:graphic>
          </wp:inline>
        </w:drawing>
      </w:r>
    </w:p>
    <w:p w14:paraId="2E246C47" w14:textId="09F1990A" w:rsidR="004463D3" w:rsidRDefault="004463D3" w:rsidP="004463D3">
      <w:r>
        <w:t>Figure 3</w:t>
      </w:r>
    </w:p>
    <w:p w14:paraId="1488CDE2" w14:textId="6FE4F635" w:rsidR="004463D3" w:rsidRDefault="004463D3" w:rsidP="004463D3">
      <w:pPr>
        <w:jc w:val="center"/>
      </w:pPr>
      <w:r>
        <w:rPr>
          <w:noProof/>
        </w:rPr>
        <w:lastRenderedPageBreak/>
        <w:drawing>
          <wp:inline distT="0" distB="0" distL="0" distR="0" wp14:anchorId="5CF5CD18" wp14:editId="6936A1AA">
            <wp:extent cx="4849736" cy="769686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_ QTL Effects_Figure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1718" cy="7700009"/>
                    </a:xfrm>
                    <a:prstGeom prst="rect">
                      <a:avLst/>
                    </a:prstGeom>
                  </pic:spPr>
                </pic:pic>
              </a:graphicData>
            </a:graphic>
          </wp:inline>
        </w:drawing>
      </w:r>
    </w:p>
    <w:p w14:paraId="3DC64E55" w14:textId="54300C0A" w:rsidR="004463D3" w:rsidRDefault="004463D3" w:rsidP="004463D3">
      <w:r>
        <w:t>Figure 4</w:t>
      </w:r>
    </w:p>
    <w:p w14:paraId="524ACCEC" w14:textId="0BBBD445" w:rsidR="004463D3" w:rsidRDefault="004463D3" w:rsidP="004463D3">
      <w:r>
        <w:rPr>
          <w:noProof/>
        </w:rPr>
        <w:lastRenderedPageBreak/>
        <w:drawing>
          <wp:inline distT="0" distB="0" distL="0" distR="0" wp14:anchorId="16725E6F" wp14:editId="18CD0169">
            <wp:extent cx="5943600"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Modeling_Figure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FCB01E6" w14:textId="17A11109" w:rsidR="004463D3" w:rsidRDefault="004463D3" w:rsidP="004463D3">
      <w:r>
        <w:t>Figure 5</w:t>
      </w:r>
    </w:p>
    <w:sectPr w:rsidR="00446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835"/>
    <w:rsid w:val="00000F90"/>
    <w:rsid w:val="00001DC3"/>
    <w:rsid w:val="00003BD6"/>
    <w:rsid w:val="00013751"/>
    <w:rsid w:val="000137C4"/>
    <w:rsid w:val="00015B40"/>
    <w:rsid w:val="0001667B"/>
    <w:rsid w:val="00030749"/>
    <w:rsid w:val="000402FC"/>
    <w:rsid w:val="0004400D"/>
    <w:rsid w:val="000524C4"/>
    <w:rsid w:val="0005468E"/>
    <w:rsid w:val="0005581C"/>
    <w:rsid w:val="00061E38"/>
    <w:rsid w:val="00083530"/>
    <w:rsid w:val="00095526"/>
    <w:rsid w:val="000A037C"/>
    <w:rsid w:val="000B19F0"/>
    <w:rsid w:val="000B29B9"/>
    <w:rsid w:val="000C20BA"/>
    <w:rsid w:val="000E017D"/>
    <w:rsid w:val="000E0E57"/>
    <w:rsid w:val="000E13EF"/>
    <w:rsid w:val="000E6887"/>
    <w:rsid w:val="000F445F"/>
    <w:rsid w:val="000F6763"/>
    <w:rsid w:val="000F774C"/>
    <w:rsid w:val="001049D7"/>
    <w:rsid w:val="00110C5D"/>
    <w:rsid w:val="001355CA"/>
    <w:rsid w:val="001368FA"/>
    <w:rsid w:val="00143A42"/>
    <w:rsid w:val="00163D33"/>
    <w:rsid w:val="0017074F"/>
    <w:rsid w:val="00176AC9"/>
    <w:rsid w:val="00180977"/>
    <w:rsid w:val="001A12DC"/>
    <w:rsid w:val="001A1C54"/>
    <w:rsid w:val="001A30DB"/>
    <w:rsid w:val="001A6977"/>
    <w:rsid w:val="001C399A"/>
    <w:rsid w:val="001C6A36"/>
    <w:rsid w:val="001E5D8C"/>
    <w:rsid w:val="00200997"/>
    <w:rsid w:val="002408AF"/>
    <w:rsid w:val="00252289"/>
    <w:rsid w:val="00274583"/>
    <w:rsid w:val="00281B15"/>
    <w:rsid w:val="00282D78"/>
    <w:rsid w:val="00297CD9"/>
    <w:rsid w:val="002B0D7C"/>
    <w:rsid w:val="002C0A84"/>
    <w:rsid w:val="002E0471"/>
    <w:rsid w:val="002E37D0"/>
    <w:rsid w:val="002F1563"/>
    <w:rsid w:val="002F2E5D"/>
    <w:rsid w:val="002F3E03"/>
    <w:rsid w:val="00316E43"/>
    <w:rsid w:val="00381696"/>
    <w:rsid w:val="0038189C"/>
    <w:rsid w:val="003860DF"/>
    <w:rsid w:val="00390A12"/>
    <w:rsid w:val="00393EAB"/>
    <w:rsid w:val="00395654"/>
    <w:rsid w:val="00397399"/>
    <w:rsid w:val="003975A3"/>
    <w:rsid w:val="003A27A6"/>
    <w:rsid w:val="003D2C6A"/>
    <w:rsid w:val="003D40AD"/>
    <w:rsid w:val="003F50EA"/>
    <w:rsid w:val="003F6372"/>
    <w:rsid w:val="00412E16"/>
    <w:rsid w:val="00417AF8"/>
    <w:rsid w:val="004463D3"/>
    <w:rsid w:val="00450583"/>
    <w:rsid w:val="00455616"/>
    <w:rsid w:val="00462C22"/>
    <w:rsid w:val="004674A1"/>
    <w:rsid w:val="00471597"/>
    <w:rsid w:val="004747F7"/>
    <w:rsid w:val="004819BC"/>
    <w:rsid w:val="004973A3"/>
    <w:rsid w:val="004B41B6"/>
    <w:rsid w:val="004B4F57"/>
    <w:rsid w:val="004D1195"/>
    <w:rsid w:val="004F669B"/>
    <w:rsid w:val="004F6C54"/>
    <w:rsid w:val="004F70B0"/>
    <w:rsid w:val="00500B80"/>
    <w:rsid w:val="00504C32"/>
    <w:rsid w:val="00505128"/>
    <w:rsid w:val="0051426D"/>
    <w:rsid w:val="00550678"/>
    <w:rsid w:val="00552D66"/>
    <w:rsid w:val="005533E8"/>
    <w:rsid w:val="00556061"/>
    <w:rsid w:val="005619A0"/>
    <w:rsid w:val="005635A6"/>
    <w:rsid w:val="00581BD0"/>
    <w:rsid w:val="00583112"/>
    <w:rsid w:val="00596368"/>
    <w:rsid w:val="005C2750"/>
    <w:rsid w:val="005D1C23"/>
    <w:rsid w:val="005E7CC0"/>
    <w:rsid w:val="005F0F6C"/>
    <w:rsid w:val="006305F2"/>
    <w:rsid w:val="006363E5"/>
    <w:rsid w:val="0066022D"/>
    <w:rsid w:val="00663908"/>
    <w:rsid w:val="00697D97"/>
    <w:rsid w:val="006C11D1"/>
    <w:rsid w:val="006D294D"/>
    <w:rsid w:val="006E21CF"/>
    <w:rsid w:val="006E2CEF"/>
    <w:rsid w:val="006E631A"/>
    <w:rsid w:val="006F3E37"/>
    <w:rsid w:val="006F4E82"/>
    <w:rsid w:val="0070126B"/>
    <w:rsid w:val="00721813"/>
    <w:rsid w:val="00724ACA"/>
    <w:rsid w:val="007256CE"/>
    <w:rsid w:val="00737057"/>
    <w:rsid w:val="00751DB5"/>
    <w:rsid w:val="0076070F"/>
    <w:rsid w:val="0076511C"/>
    <w:rsid w:val="00766906"/>
    <w:rsid w:val="00793608"/>
    <w:rsid w:val="007A1E8E"/>
    <w:rsid w:val="007A63E1"/>
    <w:rsid w:val="007B0534"/>
    <w:rsid w:val="007C0FEA"/>
    <w:rsid w:val="007E02DC"/>
    <w:rsid w:val="008045DC"/>
    <w:rsid w:val="008060AD"/>
    <w:rsid w:val="008555A2"/>
    <w:rsid w:val="00871F65"/>
    <w:rsid w:val="00877D36"/>
    <w:rsid w:val="00887451"/>
    <w:rsid w:val="00891E2D"/>
    <w:rsid w:val="008A2BC6"/>
    <w:rsid w:val="008A3CD3"/>
    <w:rsid w:val="008A45DB"/>
    <w:rsid w:val="008A7975"/>
    <w:rsid w:val="008B7970"/>
    <w:rsid w:val="008C437E"/>
    <w:rsid w:val="008C5835"/>
    <w:rsid w:val="008D7211"/>
    <w:rsid w:val="008F2336"/>
    <w:rsid w:val="009015D0"/>
    <w:rsid w:val="00902D31"/>
    <w:rsid w:val="00917C47"/>
    <w:rsid w:val="00941D7B"/>
    <w:rsid w:val="00947FD8"/>
    <w:rsid w:val="009515D2"/>
    <w:rsid w:val="009530F7"/>
    <w:rsid w:val="00961953"/>
    <w:rsid w:val="00964C11"/>
    <w:rsid w:val="00966EC7"/>
    <w:rsid w:val="00982275"/>
    <w:rsid w:val="009A6731"/>
    <w:rsid w:val="009B22D2"/>
    <w:rsid w:val="009D0CB7"/>
    <w:rsid w:val="009D5F2A"/>
    <w:rsid w:val="009E1566"/>
    <w:rsid w:val="009E4882"/>
    <w:rsid w:val="009E4E2E"/>
    <w:rsid w:val="009F0488"/>
    <w:rsid w:val="00A031BA"/>
    <w:rsid w:val="00A20CBA"/>
    <w:rsid w:val="00A2266C"/>
    <w:rsid w:val="00A22A74"/>
    <w:rsid w:val="00A5199C"/>
    <w:rsid w:val="00A57CD2"/>
    <w:rsid w:val="00A74418"/>
    <w:rsid w:val="00A750F7"/>
    <w:rsid w:val="00AB34F4"/>
    <w:rsid w:val="00AB3A93"/>
    <w:rsid w:val="00AC3E58"/>
    <w:rsid w:val="00AC54C9"/>
    <w:rsid w:val="00AD3F9C"/>
    <w:rsid w:val="00AD69A2"/>
    <w:rsid w:val="00AF46A2"/>
    <w:rsid w:val="00AF7F5C"/>
    <w:rsid w:val="00B016BC"/>
    <w:rsid w:val="00B03FF3"/>
    <w:rsid w:val="00B05A7A"/>
    <w:rsid w:val="00B11341"/>
    <w:rsid w:val="00B360BB"/>
    <w:rsid w:val="00B47BAB"/>
    <w:rsid w:val="00B627E5"/>
    <w:rsid w:val="00B63783"/>
    <w:rsid w:val="00B72679"/>
    <w:rsid w:val="00B732C6"/>
    <w:rsid w:val="00B86331"/>
    <w:rsid w:val="00B91E58"/>
    <w:rsid w:val="00B94B4A"/>
    <w:rsid w:val="00B9509C"/>
    <w:rsid w:val="00BA624F"/>
    <w:rsid w:val="00BC1C55"/>
    <w:rsid w:val="00C246BE"/>
    <w:rsid w:val="00C504F2"/>
    <w:rsid w:val="00C51CD8"/>
    <w:rsid w:val="00C56E0D"/>
    <w:rsid w:val="00C65B2A"/>
    <w:rsid w:val="00C67969"/>
    <w:rsid w:val="00C70A70"/>
    <w:rsid w:val="00C73917"/>
    <w:rsid w:val="00C832D9"/>
    <w:rsid w:val="00CA43A7"/>
    <w:rsid w:val="00CC5380"/>
    <w:rsid w:val="00CD6EE5"/>
    <w:rsid w:val="00CD73AE"/>
    <w:rsid w:val="00CE062E"/>
    <w:rsid w:val="00CE1844"/>
    <w:rsid w:val="00CE1CB3"/>
    <w:rsid w:val="00CE54BB"/>
    <w:rsid w:val="00CE7A12"/>
    <w:rsid w:val="00CF540C"/>
    <w:rsid w:val="00D1460C"/>
    <w:rsid w:val="00D22BD7"/>
    <w:rsid w:val="00D24A84"/>
    <w:rsid w:val="00D32B66"/>
    <w:rsid w:val="00D4127A"/>
    <w:rsid w:val="00D43725"/>
    <w:rsid w:val="00D44836"/>
    <w:rsid w:val="00D567B1"/>
    <w:rsid w:val="00D71E75"/>
    <w:rsid w:val="00D81D3F"/>
    <w:rsid w:val="00D9436B"/>
    <w:rsid w:val="00DB1F5D"/>
    <w:rsid w:val="00DB2159"/>
    <w:rsid w:val="00DB438D"/>
    <w:rsid w:val="00DC0B14"/>
    <w:rsid w:val="00DC74C4"/>
    <w:rsid w:val="00DD319D"/>
    <w:rsid w:val="00DE298B"/>
    <w:rsid w:val="00DE7E51"/>
    <w:rsid w:val="00E102C2"/>
    <w:rsid w:val="00E35571"/>
    <w:rsid w:val="00E53B0F"/>
    <w:rsid w:val="00E63712"/>
    <w:rsid w:val="00E85995"/>
    <w:rsid w:val="00E929EB"/>
    <w:rsid w:val="00E96DFF"/>
    <w:rsid w:val="00EA6554"/>
    <w:rsid w:val="00EB1133"/>
    <w:rsid w:val="00EC17F0"/>
    <w:rsid w:val="00ED66F3"/>
    <w:rsid w:val="00EE2F5A"/>
    <w:rsid w:val="00EF66DC"/>
    <w:rsid w:val="00F0096B"/>
    <w:rsid w:val="00F02BB9"/>
    <w:rsid w:val="00F07B74"/>
    <w:rsid w:val="00F1356B"/>
    <w:rsid w:val="00F17D3F"/>
    <w:rsid w:val="00F22CD2"/>
    <w:rsid w:val="00F25A74"/>
    <w:rsid w:val="00F30C06"/>
    <w:rsid w:val="00F33BFD"/>
    <w:rsid w:val="00F42564"/>
    <w:rsid w:val="00F45DE2"/>
    <w:rsid w:val="00F54DBD"/>
    <w:rsid w:val="00F626CD"/>
    <w:rsid w:val="00F915A7"/>
    <w:rsid w:val="00FA6EA3"/>
    <w:rsid w:val="00FB021E"/>
    <w:rsid w:val="00FB1C98"/>
    <w:rsid w:val="00FB5A1F"/>
    <w:rsid w:val="00FC1845"/>
    <w:rsid w:val="00FD1C20"/>
    <w:rsid w:val="00FD7832"/>
    <w:rsid w:val="00FE581F"/>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26CE"/>
  <w15:chartTrackingRefBased/>
  <w15:docId w15:val="{57AC3F7A-42D1-43CF-9B12-6DA08A0F5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2DC"/>
    <w:rPr>
      <w:color w:val="0000FF"/>
      <w:u w:val="single"/>
    </w:rPr>
  </w:style>
  <w:style w:type="character" w:styleId="PlaceholderText">
    <w:name w:val="Placeholder Text"/>
    <w:basedOn w:val="DefaultParagraphFont"/>
    <w:uiPriority w:val="99"/>
    <w:semiHidden/>
    <w:rsid w:val="00CE062E"/>
    <w:rPr>
      <w:color w:val="808080"/>
    </w:rPr>
  </w:style>
  <w:style w:type="paragraph" w:styleId="BalloonText">
    <w:name w:val="Balloon Text"/>
    <w:basedOn w:val="Normal"/>
    <w:link w:val="BalloonTextChar"/>
    <w:uiPriority w:val="99"/>
    <w:semiHidden/>
    <w:unhideWhenUsed/>
    <w:rsid w:val="00D448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836"/>
    <w:rPr>
      <w:rFonts w:ascii="Segoe UI" w:hAnsi="Segoe UI" w:cs="Segoe UI"/>
      <w:sz w:val="18"/>
      <w:szCs w:val="18"/>
    </w:rPr>
  </w:style>
  <w:style w:type="character" w:customStyle="1" w:styleId="UnresolvedMention">
    <w:name w:val="Unresolved Mention"/>
    <w:basedOn w:val="DefaultParagraphFont"/>
    <w:uiPriority w:val="99"/>
    <w:semiHidden/>
    <w:unhideWhenUsed/>
    <w:rsid w:val="005635A6"/>
    <w:rPr>
      <w:color w:val="605E5C"/>
      <w:shd w:val="clear" w:color="auto" w:fill="E1DFDD"/>
    </w:rPr>
  </w:style>
  <w:style w:type="table" w:styleId="TableGrid">
    <w:name w:val="Table Grid"/>
    <w:basedOn w:val="TableNormal"/>
    <w:uiPriority w:val="39"/>
    <w:rsid w:val="00CE5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11D1"/>
    <w:rPr>
      <w:sz w:val="16"/>
      <w:szCs w:val="16"/>
    </w:rPr>
  </w:style>
  <w:style w:type="paragraph" w:styleId="CommentText">
    <w:name w:val="annotation text"/>
    <w:basedOn w:val="Normal"/>
    <w:link w:val="CommentTextChar"/>
    <w:uiPriority w:val="99"/>
    <w:semiHidden/>
    <w:unhideWhenUsed/>
    <w:rsid w:val="006C11D1"/>
    <w:pPr>
      <w:spacing w:line="240" w:lineRule="auto"/>
    </w:pPr>
    <w:rPr>
      <w:sz w:val="20"/>
      <w:szCs w:val="20"/>
    </w:rPr>
  </w:style>
  <w:style w:type="character" w:customStyle="1" w:styleId="CommentTextChar">
    <w:name w:val="Comment Text Char"/>
    <w:basedOn w:val="DefaultParagraphFont"/>
    <w:link w:val="CommentText"/>
    <w:uiPriority w:val="99"/>
    <w:semiHidden/>
    <w:rsid w:val="006C11D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57571">
      <w:bodyDiv w:val="1"/>
      <w:marLeft w:val="0"/>
      <w:marRight w:val="0"/>
      <w:marTop w:val="0"/>
      <w:marBottom w:val="0"/>
      <w:divBdr>
        <w:top w:val="none" w:sz="0" w:space="0" w:color="auto"/>
        <w:left w:val="none" w:sz="0" w:space="0" w:color="auto"/>
        <w:bottom w:val="none" w:sz="0" w:space="0" w:color="auto"/>
        <w:right w:val="none" w:sz="0" w:space="0" w:color="auto"/>
      </w:divBdr>
    </w:div>
    <w:div w:id="199976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4429</Words>
  <Characters>25250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cp:keywords/>
  <dc:description/>
  <cp:lastModifiedBy>MacQueen, Alice H</cp:lastModifiedBy>
  <cp:revision>2</cp:revision>
  <dcterms:created xsi:type="dcterms:W3CDTF">2019-09-13T15:43:00Z</dcterms:created>
  <dcterms:modified xsi:type="dcterms:W3CDTF">2019-09-13T15:43:00Z</dcterms:modified>
</cp:coreProperties>
</file>