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80" w:rightFromText="180" w:vertAnchor="text" w:horzAnchor="margin" w:tblpY="1171"/>
        <w:tblW w:w="9360" w:type="dxa"/>
        <w:tblLook w:val="04A0" w:firstRow="1" w:lastRow="0" w:firstColumn="1" w:lastColumn="0" w:noHBand="0" w:noVBand="1"/>
      </w:tblPr>
      <w:tblGrid>
        <w:gridCol w:w="960"/>
        <w:gridCol w:w="1920"/>
        <w:gridCol w:w="2142"/>
        <w:gridCol w:w="1458"/>
        <w:gridCol w:w="1343"/>
        <w:gridCol w:w="1537"/>
      </w:tblGrid>
      <w:tr w:rsidR="00573606" w:rsidRPr="006D6F56" w:rsidTr="0057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  <w:gridSpan w:val="2"/>
            <w:noWrap/>
            <w:hideMark/>
          </w:tcPr>
          <w:p w:rsidR="00573606" w:rsidRPr="006D6F56" w:rsidRDefault="00573606" w:rsidP="005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Plants with SNP data &amp; phenotypes</w:t>
            </w:r>
          </w:p>
        </w:tc>
        <w:tc>
          <w:tcPr>
            <w:tcW w:w="2801" w:type="dxa"/>
            <w:gridSpan w:val="2"/>
            <w:noWrap/>
            <w:hideMark/>
          </w:tcPr>
          <w:p w:rsidR="00573606" w:rsidRPr="006D6F56" w:rsidRDefault="00573606" w:rsidP="005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Plants with phenotypes</w:t>
            </w:r>
          </w:p>
        </w:tc>
        <w:tc>
          <w:tcPr>
            <w:tcW w:w="1537" w:type="dxa"/>
          </w:tcPr>
          <w:p w:rsidR="00573606" w:rsidRPr="006D6F56" w:rsidRDefault="00573606" w:rsidP="005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Plants Dead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2018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2019</w:t>
            </w:r>
          </w:p>
        </w:tc>
        <w:tc>
          <w:tcPr>
            <w:tcW w:w="1537" w:type="dxa"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2018 to 2019</w:t>
            </w:r>
          </w:p>
        </w:tc>
      </w:tr>
      <w:tr w:rsidR="00573606" w:rsidRPr="006D6F56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BRKG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KBSM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73606" w:rsidRPr="006D6F56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FRMI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LINC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</w:tr>
      <w:tr w:rsidR="00573606" w:rsidRPr="006D6F56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CLMB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STIL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73606" w:rsidRPr="006D6F56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OVTN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TMPL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73606" w:rsidRPr="006D6F56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PKLE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617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73606" w:rsidRPr="006D6F56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573606" w:rsidRPr="006D6F56" w:rsidRDefault="00573606" w:rsidP="0057360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F56">
              <w:rPr>
                <w:rFonts w:ascii="Calibri" w:eastAsia="Times New Roman" w:hAnsi="Calibri" w:cs="Calibri"/>
                <w:b/>
                <w:bCs/>
                <w:color w:val="000000"/>
              </w:rPr>
              <w:t>KING</w:t>
            </w:r>
          </w:p>
        </w:tc>
        <w:tc>
          <w:tcPr>
            <w:tcW w:w="1920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2142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458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343" w:type="dxa"/>
            <w:noWrap/>
            <w:hideMark/>
          </w:tcPr>
          <w:p w:rsidR="00573606" w:rsidRPr="006D6F5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6F56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537" w:type="dxa"/>
            <w:vAlign w:val="bottom"/>
          </w:tcPr>
          <w:p w:rsidR="00573606" w:rsidRDefault="00573606" w:rsidP="005736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F22DFE" w:rsidRDefault="00F22DFE">
      <w:r>
        <w:t>Here</w:t>
      </w:r>
      <w:r w:rsidR="00573606">
        <w:t xml:space="preserve"> is a breakdown of </w:t>
      </w:r>
      <w:r>
        <w:t>the number of individuals we have for GWAS at each site, for phenotypes from 2018 and from 2019.</w:t>
      </w:r>
      <w:r w:rsidR="00573606">
        <w:t xml:space="preserve"> The first two data columns have individuals with high quality SNP data and phenotypes. The next two have tetraploid plants with phenotypes – there is a lot of overlap, and only 5-6 plants that could have their libraries </w:t>
      </w:r>
      <w:proofErr w:type="spellStart"/>
      <w:r w:rsidR="00573606">
        <w:t>resequenced</w:t>
      </w:r>
      <w:proofErr w:type="spellEnd"/>
      <w:r w:rsidR="00573606">
        <w:t xml:space="preserve"> to help the GWAS data.</w:t>
      </w:r>
    </w:p>
    <w:tbl>
      <w:tblPr>
        <w:tblStyle w:val="PlainTable5"/>
        <w:tblpPr w:leftFromText="180" w:rightFromText="180" w:vertAnchor="page" w:horzAnchor="margin" w:tblpY="8146"/>
        <w:tblW w:w="8730" w:type="dxa"/>
        <w:tblLook w:val="04A0" w:firstRow="1" w:lastRow="0" w:firstColumn="1" w:lastColumn="0" w:noHBand="0" w:noVBand="1"/>
      </w:tblPr>
      <w:tblGrid>
        <w:gridCol w:w="2031"/>
        <w:gridCol w:w="6699"/>
      </w:tblGrid>
      <w:tr w:rsidR="00573606" w:rsidRPr="00121C6B" w:rsidTr="0057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Number of SNPs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Category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12536071</w:t>
            </w:r>
          </w:p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Can't be used for GWAS – these SNPs have less than 25 copies of the minor allele in the 631 individuals planted at the common gardens.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10452584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be used for GWAS at all 10 sites and both 2018 and 2019 data.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1160326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Can’t be used in LINC &amp; BRKG in 2019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1155906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at high enough frequency to be used at the big 3 sites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546381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only be used at PKLE &amp; CLMB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439918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only be used at PKLE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346189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only be used at big 4 sites – KBSM CLMB PKLE STIL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341773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Can’t be used at KING OVTN FRMI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331082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Can’t be used at LINC in 2019 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327364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Can’t be used at KING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315522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only be used at big 4 and LINC 2018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305573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2019 at 4 freezing sites – LINC FRMI CLMB BRKG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285838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only be used at PKLE x2yr &amp; CLMB 2018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246340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2019 at 3 freezing sites, not big site (BRKG)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231650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KING x2yr and FRMI 2019</w:t>
            </w:r>
          </w:p>
        </w:tc>
      </w:tr>
      <w:tr w:rsidR="00573606" w:rsidRPr="00121C6B" w:rsidTr="0057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  <w:hideMark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192819</w:t>
            </w:r>
          </w:p>
        </w:tc>
        <w:tc>
          <w:tcPr>
            <w:tcW w:w="6699" w:type="dxa"/>
            <w:noWrap/>
            <w:hideMark/>
          </w:tcPr>
          <w:p w:rsidR="00573606" w:rsidRDefault="00573606" w:rsidP="0057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KING x2yr and FRMI x2yr</w:t>
            </w:r>
          </w:p>
        </w:tc>
      </w:tr>
      <w:tr w:rsidR="00573606" w:rsidRPr="00121C6B" w:rsidTr="005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noWrap/>
          </w:tcPr>
          <w:p w:rsidR="00573606" w:rsidRDefault="00573606" w:rsidP="0057360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……</w:t>
            </w:r>
          </w:p>
        </w:tc>
        <w:tc>
          <w:tcPr>
            <w:tcW w:w="6699" w:type="dxa"/>
            <w:noWrap/>
          </w:tcPr>
          <w:p w:rsidR="00573606" w:rsidRDefault="00573606" w:rsidP="0057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4.67M SNPs have some other combination of Site x Year that is useable.</w:t>
            </w:r>
          </w:p>
        </w:tc>
      </w:tr>
    </w:tbl>
    <w:p w:rsidR="00573606" w:rsidRDefault="00573606" w:rsidP="00573606">
      <w:pPr>
        <w:spacing w:after="0"/>
      </w:pPr>
      <w:r>
        <w:t xml:space="preserve"> </w:t>
      </w:r>
    </w:p>
    <w:p w:rsidR="006D6F56" w:rsidRDefault="00573606">
      <w:r>
        <w:t>Given that information, I then subdivided the SNPs from John’s new 33.9M SNP dataset. These are SNPs missing in 20% or less of individuals from each subpopulation. Instead of a minor allele frequency, I used a minor allele count of 25 or more (except for FRMI where I used 15). This was the same as a MAF of 5% at BRKG, FRMI, and LINC, and a slightly lower MAF for the other sites with more individuals. Here’s the breakdown of the site*year combinations where SNPs can and can’t be used for GWAS:</w:t>
      </w:r>
    </w:p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573606" w:rsidRDefault="00573606"/>
    <w:p w:rsidR="00573606" w:rsidRDefault="00573606"/>
    <w:p w:rsidR="00573606" w:rsidRDefault="00573606"/>
    <w:p w:rsidR="00573606" w:rsidRDefault="00573606"/>
    <w:p w:rsidR="002F00B1" w:rsidRDefault="0025510B" w:rsidP="002F00B1">
      <w:r>
        <w:lastRenderedPageBreak/>
        <w:t>The minor allele count also lets us look at how allele frequency has shifted at northern sites between 2018 and 2019 (and also lets us compare allele frequencies between sites – think of them like SFS plots). Here are some examples of those plots for the four sites that lost 80 or more individuals</w:t>
      </w:r>
      <w:r w:rsidR="002F00B1">
        <w:t xml:space="preserve">. Note that I removed all SNPs with a minor allele count below 25 in the 2018 data, because we would not be able to use those SNPs for GWAS. We’re probably most concerned about SNPs with a count that drops below 25 in the 2019 data. And </w:t>
      </w:r>
      <w:r w:rsidR="002F00B1">
        <w:t>2018 is always on the x-axis for these year to year comparison plots.</w:t>
      </w:r>
    </w:p>
    <w:p w:rsidR="003631D2" w:rsidRDefault="00501E5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86411" cy="339243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KG_2018_v_2019_minor_allele_count_ch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10B" w:rsidRDefault="0025510B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/>
    <w:p w:rsidR="00501E55" w:rsidRDefault="00501E55">
      <w:pPr>
        <w:rPr>
          <w:noProof/>
        </w:rPr>
      </w:pPr>
    </w:p>
    <w:p w:rsidR="00501E55" w:rsidRDefault="00501E55">
      <w:pPr>
        <w:rPr>
          <w:noProof/>
        </w:rPr>
      </w:pPr>
    </w:p>
    <w:p w:rsidR="00501E55" w:rsidRDefault="00501E55">
      <w:pPr>
        <w:rPr>
          <w:noProof/>
        </w:rPr>
      </w:pPr>
    </w:p>
    <w:p w:rsidR="00501E55" w:rsidRDefault="00501E55">
      <w:pPr>
        <w:rPr>
          <w:noProof/>
        </w:rPr>
      </w:pPr>
    </w:p>
    <w:p w:rsidR="00501E55" w:rsidRDefault="002F00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-1227455</wp:posOffset>
            </wp:positionV>
            <wp:extent cx="5486400" cy="3392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C_2018_vs_2019_minor_allele_cou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E55" w:rsidRDefault="00501E55">
      <w:pPr>
        <w:rPr>
          <w:noProof/>
        </w:rPr>
      </w:pPr>
    </w:p>
    <w:p w:rsidR="006D6F56" w:rsidRDefault="002F00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4238625</wp:posOffset>
            </wp:positionV>
            <wp:extent cx="5486400" cy="3392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MB_2018_vs_2019_minor_allele_cou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E5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486400" cy="3392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MI_2018_vs_2019_minor_allele_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Note that I removed all SNPs with a minor allele count below 25 in the 2018 data, because we would not be able to use those SNPs for GWAS. </w:t>
      </w:r>
      <w:r w:rsidR="006D6F56">
        <w:br w:type="page"/>
      </w:r>
    </w:p>
    <w:p w:rsidR="006D6F56" w:rsidRDefault="00B340EB">
      <w:r>
        <w:lastRenderedPageBreak/>
        <w:t>And here are a few examples of plots between sites, for 2019 data. 2018 data looks much more similar.</w:t>
      </w:r>
    </w:p>
    <w:p w:rsidR="00B340EB" w:rsidRDefault="00F9379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11" cy="339243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KG_2019_vs_KING_2019_minor_allele_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6D6F56"/>
    <w:p w:rsidR="006D6F56" w:rsidRDefault="00F9379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5486411" cy="339243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C_2019_vs_OVTN_2019_minor_allele_cou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F56" w:rsidRDefault="006D6F56"/>
    <w:p w:rsidR="006D6F56" w:rsidRDefault="006D6F56"/>
    <w:p w:rsidR="006D6F56" w:rsidRDefault="006D6F56"/>
    <w:p w:rsidR="006D6F56" w:rsidRDefault="006D6F5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2F00B1" w:rsidP="002F00B1">
      <w:r>
        <w:t>Note that I removed all SNPs with a minor allele count below 25 in the 2018 data, because we would not be able to use those SNPs for GWAS.</w:t>
      </w:r>
    </w:p>
    <w:p w:rsidR="00F93796" w:rsidRDefault="00F93796" w:rsidP="006D6F5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3392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BSM_2019_vs_PKLE_2019_minor_allele_cou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/>
    <w:p w:rsidR="00F93796" w:rsidRDefault="00F93796" w:rsidP="006D6F56">
      <w:r>
        <w:rPr>
          <w:noProof/>
        </w:rPr>
        <w:drawing>
          <wp:inline distT="0" distB="0" distL="0" distR="0">
            <wp:extent cx="5486411" cy="3392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MB_2019_vs_PKLE_2019_minor_allele_cou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6B"/>
    <w:rsid w:val="00121C6B"/>
    <w:rsid w:val="00215EEE"/>
    <w:rsid w:val="0025510B"/>
    <w:rsid w:val="002F00B1"/>
    <w:rsid w:val="003631D2"/>
    <w:rsid w:val="003C38D2"/>
    <w:rsid w:val="00501E55"/>
    <w:rsid w:val="00573606"/>
    <w:rsid w:val="006D6F56"/>
    <w:rsid w:val="00B340EB"/>
    <w:rsid w:val="00F22DFE"/>
    <w:rsid w:val="00F93796"/>
    <w:rsid w:val="00F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DA8E"/>
  <w15:chartTrackingRefBased/>
  <w15:docId w15:val="{897F2EC3-6584-42C6-8987-340EDBF3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21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21C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D6F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MacQueen, Alice H</dc:creator>
  <cp:keywords/>
  <dc:description/>
  <cp:lastModifiedBy>MacQueen, Alice H</cp:lastModifiedBy>
  <cp:revision>8</cp:revision>
  <dcterms:created xsi:type="dcterms:W3CDTF">2020-01-24T23:21:00Z</dcterms:created>
  <dcterms:modified xsi:type="dcterms:W3CDTF">2020-01-24T23:59:00Z</dcterms:modified>
</cp:coreProperties>
</file>