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5AB62C40" w:rsidR="00144530" w:rsidRDefault="00144530">
      <w:r>
        <w:rPr>
          <w:b/>
          <w:bCs/>
        </w:rPr>
        <w:t xml:space="preserve">Working Title: </w:t>
      </w:r>
      <w:r>
        <w:t>The genetic basis of multiple distinct flowering time cues in switchgrass (</w:t>
      </w:r>
      <w:r>
        <w:rPr>
          <w:i/>
          <w:iCs/>
        </w:rPr>
        <w:t>Panicum virgatum</w:t>
      </w:r>
      <w:r>
        <w:t>)</w:t>
      </w:r>
    </w:p>
    <w:p w14:paraId="5430DBE7" w14:textId="107E2E44" w:rsidR="00144530" w:rsidRDefault="00144530">
      <w:r>
        <w:rPr>
          <w:b/>
          <w:bCs/>
        </w:rPr>
        <w:t>Authors:</w:t>
      </w:r>
      <w:r w:rsidR="00E7433B">
        <w:rPr>
          <w:b/>
          <w:bCs/>
        </w:rPr>
        <w:t xml:space="preserve"> </w:t>
      </w:r>
      <w:r w:rsidR="00E7433B">
        <w:t>Alice MacQueen*, Li Zhang*, Jason Bonette, …who else? …, Tom Juenger</w:t>
      </w:r>
      <w:r>
        <w:t xml:space="preserve"> </w:t>
      </w:r>
    </w:p>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2044F52B" w:rsidR="00F9061F" w:rsidRDefault="009944C8">
      <w:pPr>
        <w:rPr>
          <w:b/>
          <w:bCs/>
        </w:rPr>
      </w:pPr>
      <w:r>
        <w:rPr>
          <w:b/>
          <w:bCs/>
        </w:rPr>
        <w:t>Possible Friendly Reviewers/Reviewers</w:t>
      </w: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r w:rsidRPr="00BF7FD8">
        <w:rPr>
          <w:b/>
          <w:bCs/>
        </w:rPr>
        <w:t>Introduction</w:t>
      </w:r>
      <w:commentRangeEnd w:id="0"/>
      <w:r w:rsidR="007102B8">
        <w:rPr>
          <w:rStyle w:val="CommentReference"/>
        </w:rPr>
        <w:commentReference w:id="0"/>
      </w:r>
    </w:p>
    <w:p w14:paraId="3D1E28D7" w14:textId="37775C3A" w:rsidR="00B50C97" w:rsidRDefault="00AF4FC9" w:rsidP="00331407">
      <w:pPr>
        <w:ind w:firstLine="720"/>
      </w:pPr>
      <w:r>
        <w:t xml:space="preserve">The timing of floral development is a major component of plant </w:t>
      </w:r>
      <w:r w:rsidR="00094F9D">
        <w:t xml:space="preserve">fitness </w:t>
      </w:r>
      <w:r w:rsidR="00F9061F">
        <w:t>that</w:t>
      </w:r>
      <w:r>
        <w:t xml:space="preserve"> is</w:t>
      </w:r>
      <w:r w:rsidR="00B50C97">
        <w:t xml:space="preserve"> affected by multiple external environmental cues</w:t>
      </w:r>
      <w:r w:rsidR="00331407">
        <w:t xml:space="preserve"> (e.g. </w:t>
      </w:r>
      <w:r w:rsidR="00B50C97">
        <w:t>temperature, daylength, and water availability</w:t>
      </w:r>
      <w:r w:rsidR="00331407">
        <w:t>)</w:t>
      </w:r>
      <w:r w:rsidR="00B50C97">
        <w:t xml:space="preserve"> that signal existing or upcoming growing conditions. Responses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to understand the </w:t>
      </w:r>
      <w:r w:rsidR="00255B02">
        <w:t xml:space="preserve">both the </w:t>
      </w:r>
      <w:r w:rsidR="00094F9D">
        <w:t>cues driving floral development</w:t>
      </w:r>
      <w:r w:rsidR="00255B02">
        <w:t xml:space="preserve"> and </w:t>
      </w:r>
      <w:r w:rsidR="00094F9D">
        <w:t xml:space="preserve">the genetics underlying </w:t>
      </w:r>
      <w:r w:rsidR="00255B02">
        <w:t>these</w:t>
      </w:r>
      <w:r w:rsidR="00094F9D">
        <w:t xml:space="preserve"> cues</w:t>
      </w:r>
      <w:r w:rsidR="00255B02">
        <w:t xml:space="preserve"> to understand</w:t>
      </w:r>
      <w:r w:rsidR="00094F9D">
        <w:t xml:space="preserve"> the genetic potential for adaptation to novel</w:t>
      </w:r>
      <w:r w:rsidR="00255B02">
        <w:t>, changing</w:t>
      </w:r>
      <w:r w:rsidR="00094F9D">
        <w:t xml:space="preserve"> environments.</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3A89178" w14:textId="115839F2" w:rsidR="00144530" w:rsidRDefault="007102B8" w:rsidP="00203580">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p>
    <w:p w14:paraId="0EA45F1A" w14:textId="76AE437E" w:rsidR="000B43C1" w:rsidRDefault="000B43C1" w:rsidP="000B43C1">
      <w:r>
        <w:lastRenderedPageBreak/>
        <w:tab/>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1" w:name="_Hlk41465404"/>
      <w:r>
        <w:t xml:space="preserve"> (Madakadze et al 1998c; Sanderson and Wolf, 1995a, 1995b).</w:t>
      </w:r>
      <w:bookmarkEnd w:id="1"/>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t xml:space="preserve"> that triggers spring growth (Parish and Fike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12 and 16 hour photoperiods, but flowering was delayed in the upland cultivar (Van Esbroeck et al 2003). Photoperiodicity </w:t>
      </w:r>
      <w:r w:rsidR="00A70A2A">
        <w:t xml:space="preserve">likely </w:t>
      </w:r>
      <w:r w:rsidR="00374233">
        <w:t>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6CB2A87B" w14:textId="40E6748A" w:rsidR="007B4B3A" w:rsidRDefault="00203580" w:rsidP="007B4B3A">
      <w:pPr>
        <w:ind w:firstLine="720"/>
      </w:pPr>
      <w:r>
        <w:t xml:space="preserve">Switchgrass has substantial untapped genetic and morphological diversity, with tetraploid and octoploid individuals (cite), three distinctive ecotypes, and three geographically distinct, deeply diverged genetic subpopulations within tetraploid individuals (Lovell et al 20XX). Upland individuals are smaller in stature than lowland individuals, other big differences (cite). There is also a coastal ecotype with lowland whole-plant characteristics and upland leaf characteristics (Lovell et al 20XX).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Breeding for photoperiodic sensitivity in plants with earlier greenup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77777777" w:rsidR="00F9061F"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3C35D2EA" w14:textId="77777777" w:rsidR="00F9061F" w:rsidRDefault="00F9061F" w:rsidP="00F9061F"/>
    <w:p w14:paraId="0342FADA" w14:textId="31FFC503" w:rsidR="00E466BF" w:rsidRPr="00723A28" w:rsidRDefault="001B6997" w:rsidP="00F9061F">
      <w:pPr>
        <w:rPr>
          <w:b/>
          <w:bCs/>
        </w:rPr>
      </w:pPr>
      <w:r>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4C33EFF6"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greenup and flowering within these five </w:t>
      </w:r>
      <w:r w:rsidR="006729EB">
        <w:t>subpopulations</w:t>
      </w:r>
      <w:r w:rsidR="00F16304">
        <w:t xml:space="preserve">. </w:t>
      </w:r>
    </w:p>
    <w:p w14:paraId="58DE37E9" w14:textId="60F77E84"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8856CF">
        <w:t xml:space="preserve">. Response </w:t>
      </w:r>
      <w:r w:rsidR="00717014">
        <w:t>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45B6C486" w:rsidR="009A6D99" w:rsidRDefault="006D38ED" w:rsidP="00E7433B">
      <w:pPr>
        <w:ind w:firstLine="720"/>
      </w:pPr>
      <w:r>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w:t>
      </w:r>
      <w:r w:rsidR="00D56C76">
        <w:lastRenderedPageBreak/>
        <w:t>and kinship matrix</w:t>
      </w:r>
      <w:r>
        <w:t>, both</w:t>
      </w:r>
      <w:r w:rsidR="00D56C76">
        <w:t xml:space="preserve"> as random effects</w:t>
      </w:r>
      <w:r>
        <w:t>. To ensure we detected a daylength cue for shortening days, we</w:t>
      </w:r>
      <w:r w:rsidR="00D56C76">
        <w:t xml:space="preserve"> removed daylength</w:t>
      </w:r>
      <w:r w:rsidR="00A549E4">
        <w:t xml:space="preserve"> response</w:t>
      </w:r>
      <w:r w:rsidR="00D56C76">
        <w:t xml:space="preserve"> values for genotypes that flowered during lengthening days. The heritability for daylength at flowering</w:t>
      </w:r>
      <w:r w:rsidR="0082026A">
        <w:t xml:space="preserve"> during shortening days</w:t>
      </w:r>
      <w:r w:rsidR="00D56C76">
        <w:t xml:space="preserve"> was 12%</w:t>
      </w:r>
      <w:r w:rsidR="006C3D6D">
        <w:t>, while the heritability for flowering as a Julian date for the same set of individuals was 23.</w:t>
      </w:r>
      <w:r w:rsidR="00AF5437">
        <w:t>7</w:t>
      </w:r>
      <w:r w:rsidR="006C3D6D">
        <w:t xml:space="preserve">% </w:t>
      </w:r>
      <w:r w:rsidR="00176CA1">
        <w:t>(Supplementary Table: Variance Components analysis)</w:t>
      </w:r>
      <w:r w:rsidR="009B6ED2">
        <w:t xml:space="preserve">. </w:t>
      </w:r>
      <w:r w:rsidR="00131685">
        <w:t>This reduction in heritability did not support the hypothesis that flowering was cued by</w:t>
      </w:r>
      <w:r w:rsidR="001B6997">
        <w:t xml:space="preserve"> </w:t>
      </w:r>
      <w:r>
        <w:t xml:space="preserve">any specific day length during shortening days in our common gardens. </w:t>
      </w:r>
      <w:r w:rsidR="001B6997">
        <w:t xml:space="preserve">Instead, the flowering photoperiodicity cue </w:t>
      </w:r>
      <w:r w:rsidR="00131685">
        <w:t xml:space="preserve">was </w:t>
      </w:r>
      <w:r w:rsidR="001B6997">
        <w:t>exposure to shortening days.</w:t>
      </w:r>
    </w:p>
    <w:p w14:paraId="2F1666AF" w14:textId="66DB9ABB" w:rsidR="00E7433B" w:rsidRDefault="002D1D34" w:rsidP="00E7433B">
      <w:pPr>
        <w:ind w:firstLine="720"/>
      </w:pPr>
      <w:r>
        <w:t xml:space="preserve">Next, we evaluated </w:t>
      </w:r>
      <w:r w:rsidR="006D38ED">
        <w:t>whether</w:t>
      </w:r>
      <w:r>
        <w:t xml:space="preserve"> photoperiodicity</w:t>
      </w:r>
      <w:r w:rsidR="009B6ED2">
        <w:t>, defined</w:t>
      </w:r>
      <w:r w:rsidR="00176CA1">
        <w:t xml:space="preserve"> simply</w:t>
      </w:r>
      <w:r w:rsidR="009B6ED2">
        <w:t xml:space="preserve"> as exposure to shortening days,</w:t>
      </w:r>
      <w:r>
        <w:t xml:space="preserve"> differed by plant latitude of origin (Parish and Fike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r w:rsidR="006950C4">
        <w:t>glm,</w:t>
      </w:r>
      <w:r>
        <w:t xml:space="preserve"> </w:t>
      </w:r>
      <w:r w:rsidR="006950C4">
        <w:rPr>
          <w:i/>
          <w:iCs/>
        </w:rPr>
        <w:t>P</w:t>
      </w:r>
      <w:r w:rsidR="00CC6D71" w:rsidRPr="00CC6D71">
        <w:rPr>
          <w:i/>
          <w:iCs/>
        </w:rPr>
        <w:t>r</w:t>
      </w:r>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 degrees </w:t>
      </w:r>
      <w:r w:rsidR="00717014">
        <w:t>did not flower until days were</w:t>
      </w:r>
      <w:r w:rsidR="00205EC7">
        <w:t xml:space="preserve"> shortening at the Texas sites, while the majority of plants from latitudes of origin above 38 degrees flowered while days were lengthening. Interestingly, the Oklahoma (OK) site, </w:t>
      </w:r>
      <w:r w:rsidR="00717014">
        <w:t>our first common garden at which</w:t>
      </w:r>
      <w:r w:rsidR="00205EC7">
        <w:t xml:space="preserve"> most genotypes flowered during shortening days, was at </w:t>
      </w:r>
      <w:r w:rsidR="007B4B3A">
        <w:t>~</w:t>
      </w:r>
      <w:r w:rsidR="00205EC7">
        <w:t>36 degrees of latitude</w:t>
      </w:r>
      <w:r w:rsidR="00717014">
        <w:t>; in contrast,</w:t>
      </w:r>
      <w:r w:rsidR="007B4B3A">
        <w:t xml:space="preserve"> the three sites where a photoperiod cue was evident were below 32 degrees of latitude</w:t>
      </w:r>
      <w:r w:rsidR="00205EC7">
        <w:t>.</w:t>
      </w:r>
      <w:r w:rsidR="00717014">
        <w:t xml:space="preserve"> At our common gardens in 2019</w:t>
      </w:r>
      <w:r w:rsidR="00205EC7">
        <w:t xml:space="preserve">, plants grown at latitudes </w:t>
      </w:r>
      <w:r w:rsidR="00E44F28">
        <w:t>&gt;</w:t>
      </w:r>
      <w:r w:rsidR="007B4B3A">
        <w:t>35</w:t>
      </w:r>
      <w:r w:rsidR="00205EC7">
        <w:t xml:space="preserve"> degrees</w:t>
      </w:r>
      <w:r w:rsidR="007B4B3A">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As this is a common feature of growing seasons at these latitudes, we suggest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3CBF0501" w:rsidR="00412A1F" w:rsidRDefault="001B6997" w:rsidP="00973DCA">
      <w:pPr>
        <w:ind w:firstLine="720"/>
      </w:pPr>
      <w:r>
        <w:t>Because switchgrass phenology is closely correlated with growing degree days (GDD) during vegetative growth, t</w:t>
      </w:r>
      <w:r w:rsidR="00351571">
        <w:t xml:space="preserve">o </w:t>
      </w:r>
      <w:r w:rsidR="00E7433B">
        <w:t>test for a temperature-based</w:t>
      </w:r>
      <w:r w:rsidR="00351571">
        <w:t xml:space="preserve"> environmental cue for flowering, w</w:t>
      </w:r>
      <w:r w:rsidR="00A86B1F">
        <w:t xml:space="preserve">e </w:t>
      </w:r>
      <w:commentRangeStart w:id="2"/>
      <w:commentRangeEnd w:id="2"/>
      <w:r w:rsidR="009E0622">
        <w:rPr>
          <w:rStyle w:val="CommentReference"/>
        </w:rPr>
        <w:commentReference w:id="2"/>
      </w:r>
      <w:r w:rsidR="006E389A">
        <w:t>evaluated</w:t>
      </w:r>
      <w:r w:rsidR="007D18ED">
        <w:t xml:space="preserve"> </w:t>
      </w:r>
      <w:r w:rsidR="00A86B1F">
        <w:lastRenderedPageBreak/>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r w:rsidR="008869BD">
        <w:t>Kiniry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w:t>
      </w:r>
      <w:r w:rsidR="00131685">
        <w:t xml:space="preserve">response </w:t>
      </w:r>
      <w:r w:rsidR="000B6138">
        <w:t xml:space="preserve">values for genotypes predicted to have a photoperiod cue at </w:t>
      </w:r>
      <w:r w:rsidR="006B4FBE">
        <w:t xml:space="preserve">the four </w:t>
      </w:r>
      <w:r w:rsidR="000B6138">
        <w:t xml:space="preserve">common gardens south of </w:t>
      </w:r>
      <w:r w:rsidR="00BA245F">
        <w:t>38 degrees latitude</w:t>
      </w:r>
      <w:r w:rsidR="000B6138">
        <w:t xml:space="preserve">. </w:t>
      </w:r>
      <w:r w:rsidR="00E26CA0">
        <w:t xml:space="preserve">Including these </w:t>
      </w:r>
      <w:r w:rsidR="006B4FBE">
        <w:t xml:space="preserve">GDD </w:t>
      </w:r>
      <w:r w:rsidR="00131685">
        <w:t xml:space="preserve">response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r w:rsidR="00D82B39">
        <w:t>Var</w:t>
      </w:r>
      <w:r w:rsidR="00E26CA0">
        <w:rPr>
          <w:vertAlign w:val="subscript"/>
        </w:rPr>
        <w:t>subpop</w:t>
      </w:r>
      <w:r w:rsidR="00D82B39">
        <w:t xml:space="preserve"> = 8</w:t>
      </w:r>
      <w:r w:rsidR="00BA245F">
        <w:t>5</w:t>
      </w:r>
      <w:r w:rsidR="00D82B39">
        <w:t>.</w:t>
      </w:r>
      <w:r w:rsidR="00BA245F">
        <w:t>9</w:t>
      </w:r>
      <w:r w:rsidR="00D82B39">
        <w:t>%</w:t>
      </w:r>
      <w:r w:rsidR="00205939">
        <w:t xml:space="preserve">). </w:t>
      </w:r>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30%, while the heritability for flowering as a Julian date for the same set of individuals was 10.8% (Supplementary Table: Variance Components analysis). </w:t>
      </w:r>
      <w:r w:rsidR="00131685">
        <w:t>More phenotypic variance was explained by GDD than by Julian date for these individuals.</w:t>
      </w:r>
    </w:p>
    <w:p w14:paraId="3D48899C" w14:textId="3BECA912" w:rsidR="00741E58" w:rsidRDefault="006B4FBE" w:rsidP="00973DCA">
      <w:pPr>
        <w:ind w:firstLine="720"/>
      </w:pPr>
      <w:r>
        <w:t xml:space="preserve">If flowering date is frequently a function of GDD in switchgrass, this </w:t>
      </w:r>
      <w:r w:rsidR="00412A1F">
        <w:t>offers an explanation for</w:t>
      </w:r>
      <w:r>
        <w:t xml:space="preserve"> observations that moving southern populations northwards delays flowering, and moving northern populations south hastens flowering (Sanderson et al 1996).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 xml:space="preserve">statistically significantly, but </w:t>
      </w:r>
      <w:r w:rsidR="003D0CEF">
        <w:t xml:space="preserve">biologically </w:t>
      </w:r>
      <w:r w:rsidR="00131685">
        <w:t>only</w:t>
      </w:r>
      <w:r w:rsidR="00F1128C">
        <w:t xml:space="preserve"> slightly in GDD (1008 vs 1090).</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and a consistent, high GDD cue for flowering in the Gulf subpopulation that is superseded by a </w:t>
      </w:r>
      <w:r w:rsidR="00741E58">
        <w:t>photoperiod cue</w:t>
      </w:r>
      <w:r w:rsidR="00412A1F">
        <w:t xml:space="preserve">, with both cues segregating in the Atlantic subpopulation by latitude of origin. </w:t>
      </w:r>
    </w:p>
    <w:p w14:paraId="7E3B6A6A" w14:textId="4BE1C9E5" w:rsidR="00F4170F" w:rsidRPr="00F4170F" w:rsidRDefault="00F4170F">
      <w:pPr>
        <w:rPr>
          <w:i/>
          <w:iCs/>
        </w:rPr>
      </w:pPr>
      <w:r>
        <w:rPr>
          <w:i/>
          <w:iCs/>
        </w:rPr>
        <w:t xml:space="preserve">Fourway cross </w:t>
      </w:r>
      <w:r w:rsidR="00DC1F5D">
        <w:rPr>
          <w:i/>
          <w:iCs/>
        </w:rPr>
        <w:t>breaks up genetics of flowering for the two most distinctive subpopulations</w:t>
      </w:r>
    </w:p>
    <w:p w14:paraId="14152C8A" w14:textId="33BAE3A9" w:rsidR="00092A16" w:rsidRDefault="00487648" w:rsidP="00DC1F5D">
      <w:pPr>
        <w:ind w:firstLine="720"/>
      </w:pPr>
      <w:r>
        <w:t xml:space="preserve">The Midwest and Gulf subpopulations had the most distinct phenological responses of all </w:t>
      </w:r>
      <w:r w:rsidR="00412A1F">
        <w:t xml:space="preserve">five </w:t>
      </w:r>
      <w:r>
        <w:t xml:space="preserve">subpopulations across our common </w:t>
      </w:r>
      <w:r w:rsidR="00233A42">
        <w:t>gardens and</w:t>
      </w:r>
      <w:r w:rsidR="002E3A05">
        <w:t xml:space="preserve"> appeared to flower in response to two distinct environmental cues</w:t>
      </w:r>
      <w:r w:rsidR="00AA0FD7">
        <w:t xml:space="preserve">. </w:t>
      </w:r>
      <w:r w:rsidR="0074757D">
        <w:t xml:space="preserve">To analyze the genes and alleles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5D4CBB">
        <w:t xml:space="preserve">We 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greenup and flowering dat</w:t>
      </w:r>
      <w:r w:rsidR="00BF7FD8">
        <w:t>e</w:t>
      </w:r>
      <w:r w:rsidR="00092A16">
        <w:t xml:space="preserve"> every three days</w:t>
      </w:r>
      <w:r w:rsidR="00950031">
        <w:t xml:space="preserve"> for the 2016-2019 seasons. </w:t>
      </w:r>
    </w:p>
    <w:p w14:paraId="15133EDB" w14:textId="27FA1670" w:rsidR="0044729E" w:rsidRDefault="00092A16" w:rsidP="00092A16">
      <w:pPr>
        <w:ind w:firstLine="720"/>
      </w:pPr>
      <w:r>
        <w:t>We first compared the 2019 flowering dates of F1 individuals to</w:t>
      </w:r>
      <w:r w:rsidR="00FF14A6">
        <w:t xml:space="preserve"> the parents and to</w:t>
      </w:r>
      <w:r>
        <w:t xml:space="preserve"> those of 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Midwest subpopulation individuals in </w:t>
      </w:r>
      <w:r w:rsidR="00C1388E">
        <w:lastRenderedPageBreak/>
        <w:t>general</w:t>
      </w:r>
      <w:r w:rsidR="0047633C">
        <w:t xml:space="preserve"> </w:t>
      </w:r>
      <w:r w:rsidR="0069137C">
        <w:t xml:space="preserve">in 2019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r>
        <w:t>&lt;</w:t>
      </w:r>
      <w:r w:rsidR="0069137C">
        <w:t xml:space="preserve">For a trait that we expect to be under polygenic control with many genes of small effect, the almost complete dominance of the Midwest phenotype is surprising. </w:t>
      </w:r>
      <w:r>
        <w:t>There’s been a northward range expansion in switchgrass after the last glacial maxima (cite), and a dominant lower GDD flowering time cue would have been tremendously selectively advantageous during this range expansion event (</w:t>
      </w:r>
      <w:r w:rsidRPr="00236B2F">
        <w:rPr>
          <w:i/>
          <w:iCs/>
        </w:rPr>
        <w:t>theory cite?</w:t>
      </w:r>
      <w:r w:rsidR="00CD6661" w:rsidRPr="00236B2F">
        <w:rPr>
          <w:i/>
          <w:iCs/>
        </w:rPr>
        <w:t xml:space="preserve"> Tom has mentioned this</w:t>
      </w:r>
      <w:r>
        <w:t>).&gt;</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63F3A229" w14:textId="77777777" w:rsidR="00113FD9" w:rsidRDefault="00113FD9" w:rsidP="00DC1F5D">
      <w:pPr>
        <w:ind w:firstLine="720"/>
      </w:pPr>
    </w:p>
    <w:p w14:paraId="274FB8A3" w14:textId="6D5EABD9"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w:t>
      </w:r>
      <w:r w:rsidR="00DD7C15">
        <w:t xml:space="preserve">across all sites and years </w:t>
      </w:r>
      <w:r w:rsidR="00983E7E" w:rsidRPr="00983E7E">
        <w:t xml:space="preserve">occurred </w:t>
      </w:r>
      <w:r w:rsidR="00DD7C15">
        <w:t>on or after</w:t>
      </w:r>
      <w:r w:rsidR="00983E7E" w:rsidRPr="00983E7E">
        <w:t xml:space="preserve"> the minimum flowering date for one or both Gulf parents</w:t>
      </w:r>
      <w:r w:rsidR="00DD7C15">
        <w:t xml:space="preserve"> in that common garden and year</w:t>
      </w:r>
      <w:r w:rsidR="00983E7E" w:rsidRPr="00983E7E">
        <w:t>.</w:t>
      </w:r>
      <w:r w:rsidR="004F492B">
        <w:t xml:space="preserve"> Long tails for the F2 flowering date distributions were primarily observed at TX2 and TX3, where there was the potential to isolate QTL that affected the ability of the plant to flower in response to a photoperiod cue</w:t>
      </w:r>
      <w:r w:rsidR="00DD7C15">
        <w:t xml:space="preserve"> (Figure 3, or as supplement?)</w:t>
      </w:r>
      <w:r w:rsidR="004F492B">
        <w:t xml:space="preserve">.  F2 individuals at TX2 and TX3 also had flowering dates similar to late flowering Midwest individuals to early- to mid-range </w:t>
      </w:r>
      <w:r w:rsidR="004F492B">
        <w:lastRenderedPageBreak/>
        <w:t>flowering Gulf individuals</w:t>
      </w:r>
      <w:r w:rsidR="00DD7C15">
        <w:t xml:space="preserve"> (Supplementary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2E5511A1" w:rsidR="00113FD9" w:rsidRPr="00113FD9" w:rsidRDefault="00113FD9" w:rsidP="00113FD9">
      <w:pPr>
        <w:rPr>
          <w:i/>
          <w:iCs/>
        </w:rPr>
      </w:pPr>
      <w:r w:rsidRPr="00113FD9">
        <w:rPr>
          <w:b/>
          <w:bCs/>
          <w:noProof/>
        </w:rPr>
        <w:drawing>
          <wp:anchor distT="0" distB="0" distL="114300" distR="114300" simplePos="0" relativeHeight="251676672" behindDoc="0" locked="0" layoutInCell="1" allowOverlap="1" wp14:anchorId="5C8007DC" wp14:editId="10921B31">
            <wp:simplePos x="0" y="0"/>
            <wp:positionH relativeFrom="margin">
              <wp:align>right</wp:align>
            </wp:positionH>
            <wp:positionV relativeFrom="paragraph">
              <wp:posOffset>186690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p>
    <w:p w14:paraId="6874EDF5" w14:textId="08AC32AA" w:rsidR="002A0403" w:rsidRDefault="00236B2F" w:rsidP="00DC1F5D">
      <w:pPr>
        <w:ind w:firstLine="720"/>
      </w:pPr>
      <w:r w:rsidRPr="002A0403">
        <w:rPr>
          <w:noProof/>
        </w:rPr>
        <w:drawing>
          <wp:anchor distT="0" distB="0" distL="114300" distR="114300" simplePos="0" relativeHeight="251661312" behindDoc="1" locked="0" layoutInCell="1" allowOverlap="1" wp14:anchorId="5727DAF0" wp14:editId="10D5FA30">
            <wp:simplePos x="0" y="0"/>
            <wp:positionH relativeFrom="margin">
              <wp:align>right</wp:align>
            </wp:positionH>
            <wp:positionV relativeFrom="paragraph">
              <wp:posOffset>5824855</wp:posOffset>
            </wp:positionV>
            <wp:extent cx="3517900" cy="2110740"/>
            <wp:effectExtent l="0" t="0" r="6350" b="3810"/>
            <wp:wrapTight wrapText="bothSides">
              <wp:wrapPolygon edited="0">
                <wp:start x="0" y="0"/>
                <wp:lineTo x="0" y="21444"/>
                <wp:lineTo x="21522" y="21444"/>
                <wp:lineTo x="21522"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7900" cy="2110740"/>
                    </a:xfrm>
                    <a:prstGeom prst="rect">
                      <a:avLst/>
                    </a:prstGeom>
                  </pic:spPr>
                </pic:pic>
              </a:graphicData>
            </a:graphic>
            <wp14:sizeRelH relativeFrom="margin">
              <wp14:pctWidth>0</wp14:pctWidth>
            </wp14:sizeRelH>
            <wp14:sizeRelV relativeFrom="margin">
              <wp14:pctHeight>0</wp14:pctHeight>
            </wp14:sizeRelV>
          </wp:anchor>
        </w:drawing>
      </w:r>
      <w:r w:rsidR="002A0403">
        <w:t>W</w:t>
      </w:r>
      <w:r w:rsidR="00872127">
        <w:t xml:space="preserve">e </w:t>
      </w:r>
      <w:r w:rsidR="00854BAD">
        <w:t xml:space="preserve">next </w:t>
      </w:r>
      <w:r w:rsidR="00872127">
        <w:t xml:space="preserve">analyzed </w:t>
      </w:r>
      <w:r w:rsidR="009F0157">
        <w:t xml:space="preserve">the genetics of </w:t>
      </w:r>
      <w:r w:rsidR="00872127">
        <w:t xml:space="preserve">greenup and flowering </w:t>
      </w:r>
      <w:r w:rsidR="002A0403">
        <w:t>in</w:t>
      </w:r>
      <w:r w:rsidR="00872127">
        <w:t xml:space="preserve"> 2019 for seven fourway sites. We anticipated finding QTL </w:t>
      </w:r>
      <w:r w:rsidR="002A0403">
        <w:t>at</w:t>
      </w:r>
      <w:r w:rsidR="00872127">
        <w:t xml:space="preserve"> the north</w:t>
      </w:r>
      <w:r w:rsidR="002A0403">
        <w:t>ern common gardens</w:t>
      </w:r>
      <w:r w:rsidR="00872127">
        <w:t xml:space="preserve"> that distinguished between early and late-flowering Midwestern alleles, while </w:t>
      </w:r>
      <w:r w:rsidR="004F492B">
        <w:t>the TX2 common garden</w:t>
      </w:r>
      <w:r w:rsidR="00872127">
        <w:t xml:space="preserve"> offered the </w:t>
      </w:r>
      <w:r w:rsidR="004F492B">
        <w:t>potential</w:t>
      </w:r>
      <w:r w:rsidR="00872127">
        <w:t xml:space="preserve"> to examine effects of Gulf alleles. There were no significant QTL for greenup.</w:t>
      </w:r>
      <w:r w:rsidR="002A0403">
        <w:t xml:space="preserve"> There were eight QTL for flowering date in the fourway cross; the largest QTL were on Chr02N, Chr04K, and Chr05N. All eight QTL exhibited significant GxE between common garden sites. </w:t>
      </w:r>
      <w:r w:rsidR="00113FD9">
        <w:t>Our cross design allowed us to</w:t>
      </w:r>
      <w:r w:rsidR="00C1388E">
        <w:t xml:space="preserve"> estimate allelic effects of alleles from both F1 individuals. </w:t>
      </w:r>
      <w:r w:rsidR="005D4CBB">
        <w:t xml:space="preserve">In the </w:t>
      </w:r>
      <w:r w:rsidR="00C1388E">
        <w:t xml:space="preserve">early flowering </w:t>
      </w:r>
      <w:r w:rsidR="00E40396">
        <w:t>allele set</w:t>
      </w:r>
      <w:r w:rsidR="00C1388E">
        <w:t>, AxB,</w:t>
      </w:r>
      <w:r w:rsidR="005D4CBB">
        <w:t xml:space="preserve"> at </w:t>
      </w:r>
      <w:r w:rsidR="000C3919">
        <w:t>TX2</w:t>
      </w:r>
      <w:r w:rsidR="005D4CBB">
        <w:t xml:space="preserve">, five of eight lowland alleles delayed flowering date. In the CxD cross at </w:t>
      </w:r>
      <w:r w:rsidR="00AE38E9">
        <w:t>TX2</w:t>
      </w:r>
      <w:r w:rsidR="005D4CBB">
        <w:t>, four of eight lowland alleles delayed flowering date – four of the same five regions that delayed flowering date in the AxB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w:t>
      </w:r>
      <w:r w:rsidR="002059D6">
        <w:lastRenderedPageBreak/>
        <w:t xml:space="preserve">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28 site</w:t>
      </w:r>
      <w:r w:rsidR="00855134">
        <w:t xml:space="preserve"> by QTL combinations for the AxB early flowering alleles</w:t>
      </w:r>
      <w:r w:rsidR="002059D6">
        <w:t xml:space="preserve">, the Midwest allele was accelerating flowering. </w:t>
      </w:r>
      <w:r w:rsidR="00855134">
        <w:t xml:space="preserve">For </w:t>
      </w:r>
      <w:r w:rsidR="002059D6">
        <w:t>16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5670B346"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Kingsville</w:t>
      </w:r>
      <w:r w:rsidR="00705607">
        <w:t xml:space="preserve"> (TX1)</w:t>
      </w:r>
      <w:r w:rsidR="00247A73">
        <w:t xml:space="preserve"> represents a marked departure from the temperate growth habits at the other nine sites. In general, </w:t>
      </w:r>
      <w:commentRangeStart w:id="3"/>
      <w:commentRangeStart w:id="4"/>
      <w:commentRangeStart w:id="5"/>
      <w:r w:rsidR="00247A73">
        <w:t>heritability</w:t>
      </w:r>
      <w:commentRangeEnd w:id="3"/>
      <w:r w:rsidR="00247A73">
        <w:rPr>
          <w:rStyle w:val="CommentReference"/>
        </w:rPr>
        <w:commentReference w:id="3"/>
      </w:r>
      <w:commentRangeEnd w:id="4"/>
      <w:r w:rsidR="00247A73">
        <w:rPr>
          <w:rStyle w:val="CommentReference"/>
        </w:rPr>
        <w:commentReference w:id="4"/>
      </w:r>
      <w:commentRangeEnd w:id="5"/>
      <w:r w:rsidR="00247A73">
        <w:rPr>
          <w:rStyle w:val="CommentReference"/>
        </w:rPr>
        <w:commentReference w:id="5"/>
      </w:r>
      <w:r w:rsidR="00247A73">
        <w:t xml:space="preserve"> for flowering was lowest at </w:t>
      </w:r>
      <w:r w:rsidR="00705607">
        <w:t>TX1</w:t>
      </w:r>
      <w:r w:rsidR="00247A73">
        <w:t xml:space="preserve"> in both the diversity panel and the fourway cross, indicating a larger effect of environment on phenotypic variance at this site. At this site</w:t>
      </w:r>
      <w:r w:rsidR="002059D6">
        <w:t xml:space="preserve">, 2 AxB Midwest QTL accelerated flowering, and 2 delayed flowering. In CxD,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Genome wide association identifies candidates affecting flowering in fourway QTL intervals</w:t>
      </w:r>
    </w:p>
    <w:p w14:paraId="7D112311" w14:textId="300B3DBE" w:rsidR="00335591" w:rsidRDefault="00AE5D08" w:rsidP="00247A73">
      <w:pPr>
        <w:ind w:firstLine="720"/>
      </w:pPr>
      <w:r>
        <w:lastRenderedPageBreak/>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6"/>
      <w:r>
        <w:t xml:space="preserve">with one or more of </w:t>
      </w:r>
      <w:commentRangeEnd w:id="6"/>
      <w:r>
        <w:rPr>
          <w:rStyle w:val="CommentReference"/>
        </w:rPr>
        <w:commentReference w:id="6"/>
      </w:r>
      <w:r>
        <w:t>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2CB5BEA5"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7"/>
      <w:commentRangeEnd w:id="7"/>
      <w:r w:rsidR="00A2334A">
        <w:rPr>
          <w:rStyle w:val="CommentReference"/>
        </w:rPr>
        <w:commentReference w:id="7"/>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123B70A3"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Walkthrough of what is known about mechanisms controlling greenup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Here, we do xxx, yyy, zzz.</w:t>
      </w:r>
    </w:p>
    <w:p w14:paraId="0FE4A813" w14:textId="442CABD4" w:rsidR="007102B8" w:rsidRDefault="007102B8">
      <w:pPr>
        <w:pStyle w:val="CommentText"/>
      </w:pPr>
    </w:p>
  </w:comment>
  <w:comment w:id="2"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3"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Show the QTL regions and GxE patterns in the fourway – maybe looking for daylength sensitivity and for cumulative GDD requirements in this cross, if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4"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5" w:author="Alice MacQueen" w:date="2020-05-21T12:21:00Z" w:initials="AHM">
    <w:p w14:paraId="19513F9F" w14:textId="77777777" w:rsidR="00247A73" w:rsidRDefault="00247A73" w:rsidP="00247A73">
      <w:pPr>
        <w:pStyle w:val="CommentText"/>
      </w:pPr>
      <w:r>
        <w:rPr>
          <w:rStyle w:val="CommentReference"/>
        </w:rPr>
        <w:annotationRef/>
      </w:r>
      <w:r>
        <w:t>I’m definitely going to mess up this fourway QTL section so Li feel free to write your own section or rewrite this however you see fit/think is accurate</w:t>
      </w:r>
    </w:p>
  </w:comment>
  <w:comment w:id="6"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 w:id="7" w:author="Alice MacQueen" w:date="2020-05-21T12:03:00Z" w:initials="AHM">
    <w:p w14:paraId="66A9B572" w14:textId="77777777" w:rsidR="00A2334A" w:rsidRDefault="00A2334A" w:rsidP="00A2334A">
      <w:pPr>
        <w:pStyle w:val="CommentText"/>
      </w:pPr>
      <w:r>
        <w:rPr>
          <w:rStyle w:val="CommentReference"/>
        </w:rPr>
        <w:annotationRef/>
      </w:r>
      <w:r>
        <w:t>Maybe color individual plant id’s by latitude of origin  on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2843803C"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7A2EE2" w16cex:dateUtc="2020-05-28T17:36: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2843803C" w16cid:durableId="227A2EE2"/>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C35C6" w14:textId="77777777" w:rsidR="00A1326C" w:rsidRDefault="00A1326C" w:rsidP="007B55E9">
      <w:pPr>
        <w:spacing w:after="0" w:line="240" w:lineRule="auto"/>
      </w:pPr>
      <w:r>
        <w:separator/>
      </w:r>
    </w:p>
  </w:endnote>
  <w:endnote w:type="continuationSeparator" w:id="0">
    <w:p w14:paraId="1D2A71C9" w14:textId="77777777" w:rsidR="00A1326C" w:rsidRDefault="00A1326C"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5CF98" w14:textId="77777777" w:rsidR="00A1326C" w:rsidRDefault="00A1326C" w:rsidP="007B55E9">
      <w:pPr>
        <w:spacing w:after="0" w:line="240" w:lineRule="auto"/>
      </w:pPr>
      <w:r>
        <w:separator/>
      </w:r>
    </w:p>
  </w:footnote>
  <w:footnote w:type="continuationSeparator" w:id="0">
    <w:p w14:paraId="221CE980" w14:textId="77777777" w:rsidR="00A1326C" w:rsidRDefault="00A1326C"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3CC4"/>
    <w:rsid w:val="00092A16"/>
    <w:rsid w:val="00094F9D"/>
    <w:rsid w:val="000A37C2"/>
    <w:rsid w:val="000A4FC8"/>
    <w:rsid w:val="000A5C17"/>
    <w:rsid w:val="000B43C1"/>
    <w:rsid w:val="000B6138"/>
    <w:rsid w:val="000C3919"/>
    <w:rsid w:val="00113FD9"/>
    <w:rsid w:val="00131685"/>
    <w:rsid w:val="00144530"/>
    <w:rsid w:val="001475B5"/>
    <w:rsid w:val="00176CA1"/>
    <w:rsid w:val="001A454F"/>
    <w:rsid w:val="001B6997"/>
    <w:rsid w:val="001F188C"/>
    <w:rsid w:val="001F591D"/>
    <w:rsid w:val="00203580"/>
    <w:rsid w:val="00205939"/>
    <w:rsid w:val="002059D6"/>
    <w:rsid w:val="00205EC7"/>
    <w:rsid w:val="00233A42"/>
    <w:rsid w:val="00236B2F"/>
    <w:rsid w:val="00247A73"/>
    <w:rsid w:val="00255B02"/>
    <w:rsid w:val="002621DA"/>
    <w:rsid w:val="00265861"/>
    <w:rsid w:val="00286B13"/>
    <w:rsid w:val="00290289"/>
    <w:rsid w:val="002A008E"/>
    <w:rsid w:val="002A0403"/>
    <w:rsid w:val="002A746D"/>
    <w:rsid w:val="002B35A4"/>
    <w:rsid w:val="002C2BA5"/>
    <w:rsid w:val="002D1D34"/>
    <w:rsid w:val="002E3A05"/>
    <w:rsid w:val="00313DBE"/>
    <w:rsid w:val="00331407"/>
    <w:rsid w:val="00335591"/>
    <w:rsid w:val="00336B7B"/>
    <w:rsid w:val="0034545A"/>
    <w:rsid w:val="00351571"/>
    <w:rsid w:val="00360D0B"/>
    <w:rsid w:val="00374233"/>
    <w:rsid w:val="003D0CEF"/>
    <w:rsid w:val="003D2058"/>
    <w:rsid w:val="00401C85"/>
    <w:rsid w:val="00406FA1"/>
    <w:rsid w:val="0041024B"/>
    <w:rsid w:val="00412A1F"/>
    <w:rsid w:val="0044729E"/>
    <w:rsid w:val="004626A2"/>
    <w:rsid w:val="00471AD0"/>
    <w:rsid w:val="0047633C"/>
    <w:rsid w:val="00483BCF"/>
    <w:rsid w:val="00487648"/>
    <w:rsid w:val="004A60B9"/>
    <w:rsid w:val="004C5D9D"/>
    <w:rsid w:val="004E7835"/>
    <w:rsid w:val="004F492B"/>
    <w:rsid w:val="005073D5"/>
    <w:rsid w:val="00543C77"/>
    <w:rsid w:val="0056359B"/>
    <w:rsid w:val="005779E9"/>
    <w:rsid w:val="00593549"/>
    <w:rsid w:val="005B48F5"/>
    <w:rsid w:val="005D4CBB"/>
    <w:rsid w:val="0061553C"/>
    <w:rsid w:val="0062190D"/>
    <w:rsid w:val="00654CFA"/>
    <w:rsid w:val="006729EB"/>
    <w:rsid w:val="00673F5A"/>
    <w:rsid w:val="0069137C"/>
    <w:rsid w:val="006950C4"/>
    <w:rsid w:val="006B4FBE"/>
    <w:rsid w:val="006C3D6D"/>
    <w:rsid w:val="006D38ED"/>
    <w:rsid w:val="006E16D6"/>
    <w:rsid w:val="006E389A"/>
    <w:rsid w:val="006F3F61"/>
    <w:rsid w:val="007033E8"/>
    <w:rsid w:val="00705607"/>
    <w:rsid w:val="00706E79"/>
    <w:rsid w:val="007102B8"/>
    <w:rsid w:val="007168D8"/>
    <w:rsid w:val="00717014"/>
    <w:rsid w:val="00723A28"/>
    <w:rsid w:val="00730A2A"/>
    <w:rsid w:val="00741E58"/>
    <w:rsid w:val="0074757D"/>
    <w:rsid w:val="00781076"/>
    <w:rsid w:val="007A2678"/>
    <w:rsid w:val="007B4B3A"/>
    <w:rsid w:val="007B55E9"/>
    <w:rsid w:val="007D18ED"/>
    <w:rsid w:val="007D54E0"/>
    <w:rsid w:val="007F704B"/>
    <w:rsid w:val="0082026A"/>
    <w:rsid w:val="00854BAD"/>
    <w:rsid w:val="00855134"/>
    <w:rsid w:val="00866E58"/>
    <w:rsid w:val="00872127"/>
    <w:rsid w:val="008856CF"/>
    <w:rsid w:val="008869BD"/>
    <w:rsid w:val="008D7BDE"/>
    <w:rsid w:val="008E2A5C"/>
    <w:rsid w:val="00905975"/>
    <w:rsid w:val="009219A5"/>
    <w:rsid w:val="00950031"/>
    <w:rsid w:val="0095061C"/>
    <w:rsid w:val="00973DCA"/>
    <w:rsid w:val="00983E7E"/>
    <w:rsid w:val="009944C8"/>
    <w:rsid w:val="009A0C54"/>
    <w:rsid w:val="009A6D99"/>
    <w:rsid w:val="009B6ED2"/>
    <w:rsid w:val="009B6EED"/>
    <w:rsid w:val="009D1BE5"/>
    <w:rsid w:val="009E0622"/>
    <w:rsid w:val="009E7BE1"/>
    <w:rsid w:val="009F0157"/>
    <w:rsid w:val="009F1E92"/>
    <w:rsid w:val="00A11543"/>
    <w:rsid w:val="00A1326C"/>
    <w:rsid w:val="00A2334A"/>
    <w:rsid w:val="00A44561"/>
    <w:rsid w:val="00A549E4"/>
    <w:rsid w:val="00A604DC"/>
    <w:rsid w:val="00A70A2A"/>
    <w:rsid w:val="00A86B1F"/>
    <w:rsid w:val="00A94451"/>
    <w:rsid w:val="00AA0FD7"/>
    <w:rsid w:val="00AA114E"/>
    <w:rsid w:val="00AB1BEC"/>
    <w:rsid w:val="00AC59C4"/>
    <w:rsid w:val="00AE38E9"/>
    <w:rsid w:val="00AE5D08"/>
    <w:rsid w:val="00AF1543"/>
    <w:rsid w:val="00AF4FC9"/>
    <w:rsid w:val="00AF5437"/>
    <w:rsid w:val="00B2786C"/>
    <w:rsid w:val="00B30A74"/>
    <w:rsid w:val="00B50C97"/>
    <w:rsid w:val="00B71AB0"/>
    <w:rsid w:val="00BA245F"/>
    <w:rsid w:val="00BA605A"/>
    <w:rsid w:val="00BE78DF"/>
    <w:rsid w:val="00BF7FD8"/>
    <w:rsid w:val="00C1388E"/>
    <w:rsid w:val="00C30D0C"/>
    <w:rsid w:val="00C41CBE"/>
    <w:rsid w:val="00C45AA6"/>
    <w:rsid w:val="00C45B1E"/>
    <w:rsid w:val="00C6309B"/>
    <w:rsid w:val="00C94C15"/>
    <w:rsid w:val="00CB3AE3"/>
    <w:rsid w:val="00CC6D71"/>
    <w:rsid w:val="00CD6661"/>
    <w:rsid w:val="00D11638"/>
    <w:rsid w:val="00D33F3D"/>
    <w:rsid w:val="00D44CBF"/>
    <w:rsid w:val="00D56099"/>
    <w:rsid w:val="00D56C76"/>
    <w:rsid w:val="00D57CE3"/>
    <w:rsid w:val="00D72F4C"/>
    <w:rsid w:val="00D82B39"/>
    <w:rsid w:val="00D83F1A"/>
    <w:rsid w:val="00DC1F5D"/>
    <w:rsid w:val="00DD7C15"/>
    <w:rsid w:val="00DE2354"/>
    <w:rsid w:val="00E11130"/>
    <w:rsid w:val="00E26CA0"/>
    <w:rsid w:val="00E27759"/>
    <w:rsid w:val="00E35235"/>
    <w:rsid w:val="00E40396"/>
    <w:rsid w:val="00E44F28"/>
    <w:rsid w:val="00E4507C"/>
    <w:rsid w:val="00E466BF"/>
    <w:rsid w:val="00E7433B"/>
    <w:rsid w:val="00E82C32"/>
    <w:rsid w:val="00E92AC5"/>
    <w:rsid w:val="00E9448A"/>
    <w:rsid w:val="00EA260A"/>
    <w:rsid w:val="00EE2CFC"/>
    <w:rsid w:val="00EF30DE"/>
    <w:rsid w:val="00F1128C"/>
    <w:rsid w:val="00F16304"/>
    <w:rsid w:val="00F31FB2"/>
    <w:rsid w:val="00F40EC9"/>
    <w:rsid w:val="00F4170F"/>
    <w:rsid w:val="00F7771E"/>
    <w:rsid w:val="00F9061F"/>
    <w:rsid w:val="00FD1EA5"/>
    <w:rsid w:val="00FF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3388</TotalTime>
  <Pages>13</Pages>
  <Words>4359</Words>
  <Characters>24851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110</cp:revision>
  <dcterms:created xsi:type="dcterms:W3CDTF">2020-05-05T15:30:00Z</dcterms:created>
  <dcterms:modified xsi:type="dcterms:W3CDTF">2020-06-08T22:36:00Z</dcterms:modified>
</cp:coreProperties>
</file>