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76AB" w14:textId="1A293FCE" w:rsidR="00E82C32" w:rsidRPr="00E82C32" w:rsidRDefault="00E82C32">
      <w:pPr>
        <w:rPr>
          <w:b/>
          <w:bCs/>
        </w:rPr>
      </w:pPr>
      <w:r>
        <w:rPr>
          <w:b/>
          <w:bCs/>
        </w:rPr>
        <w:t>Abstract</w:t>
      </w:r>
    </w:p>
    <w:p w14:paraId="2A3A4417" w14:textId="3FC53C48" w:rsidR="00DE2354" w:rsidRDefault="00905975" w:rsidP="001F188C">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that cover 17 degrees of latitude in the central United States.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3DFE9201" w14:textId="77777777" w:rsidR="00C30D0C" w:rsidRDefault="00C30D0C"/>
    <w:p w14:paraId="6833345B" w14:textId="115221D5" w:rsidR="00C30D0C" w:rsidRDefault="00BF7FD8">
      <w:pPr>
        <w:rPr>
          <w:b/>
          <w:bCs/>
        </w:rPr>
      </w:pPr>
      <w:r w:rsidRPr="00BF7FD8">
        <w:rPr>
          <w:b/>
          <w:bCs/>
        </w:rPr>
        <w:t>Introduction</w:t>
      </w:r>
    </w:p>
    <w:p w14:paraId="2107CF8C" w14:textId="79863E49" w:rsidR="008869BD" w:rsidRPr="001F188C" w:rsidRDefault="000B43C1" w:rsidP="004E7835">
      <w:pPr>
        <w:rPr>
          <w:i/>
          <w:iCs/>
        </w:rPr>
      </w:pPr>
      <w:r w:rsidRPr="001F188C">
        <w:rPr>
          <w:i/>
          <w:iCs/>
        </w:rPr>
        <w:t># Flowering and phenology importance to the plant</w:t>
      </w:r>
    </w:p>
    <w:p w14:paraId="7EC62753" w14:textId="750AA5F5" w:rsidR="000B43C1" w:rsidRPr="001F188C" w:rsidRDefault="000B43C1" w:rsidP="004E7835">
      <w:pPr>
        <w:rPr>
          <w:i/>
          <w:iCs/>
        </w:rPr>
      </w:pPr>
      <w:r w:rsidRPr="001F188C">
        <w:rPr>
          <w:i/>
          <w:iCs/>
        </w:rPr>
        <w:t># Walkthrough of what is known about mechanisms controlling greenup and flowering in switchgrass</w:t>
      </w:r>
    </w:p>
    <w:p w14:paraId="39A30931" w14:textId="77777777" w:rsidR="000B43C1" w:rsidRDefault="000B43C1" w:rsidP="000B43C1">
      <w:pPr>
        <w:ind w:firstLine="720"/>
      </w:pPr>
      <w:r>
        <w:t>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Esbroeck et al 2003). (Parrish and Fike 2005).</w:t>
      </w:r>
    </w:p>
    <w:p w14:paraId="0EA45F1A" w14:textId="76AE437E" w:rsidR="000B43C1" w:rsidRDefault="000B43C1" w:rsidP="000B43C1">
      <w:r>
        <w:tab/>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0" w:name="_Hlk41465404"/>
      <w:r>
        <w:t xml:space="preserve"> (Madakadze et al 1998c; Sanderson and Wolf, 1995a, 1995b).</w:t>
      </w:r>
      <w:bookmarkEnd w:id="0"/>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Pr>
          <w:i/>
          <w:iCs/>
        </w:rPr>
        <w:t>per se</w:t>
      </w:r>
      <w:r>
        <w:t xml:space="preserve"> that triggers spring growth (Parish and Fike 2005).</w:t>
      </w:r>
    </w:p>
    <w:p w14:paraId="508DA743" w14:textId="2C2F74E0"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upland and lowland cultivars flowered under both 12 and 16 hour photoperiods, but flowering was delayed in the upland cultivar (Van Esbroeck et al 2003). Photoperiodicity </w:t>
      </w:r>
      <w:r w:rsidR="00A70A2A">
        <w:t xml:space="preserve">likely </w:t>
      </w:r>
      <w:r w:rsidR="00374233">
        <w:t>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2B815D64" w14:textId="77777777" w:rsidR="00374233" w:rsidRPr="001F188C" w:rsidRDefault="00374233" w:rsidP="00374233">
      <w:pPr>
        <w:rPr>
          <w:i/>
          <w:iCs/>
        </w:rPr>
      </w:pPr>
      <w:r w:rsidRPr="001F188C">
        <w:rPr>
          <w:i/>
          <w:iCs/>
        </w:rPr>
        <w:lastRenderedPageBreak/>
        <w:t># Management of switchgrass for biofuels is informed by an understanding of the biology underpinning plant responses to the environment.</w:t>
      </w:r>
    </w:p>
    <w:p w14:paraId="1CE896ED" w14:textId="1BE8FA96" w:rsidR="00374233" w:rsidRDefault="00A70A2A" w:rsidP="00AA114E">
      <w:pPr>
        <w:ind w:firstLine="720"/>
      </w:pPr>
      <w:r>
        <w:t xml:space="preserve">Genetic differences in flowering date and photoperiod response can be a point of exploitation in biomass crop breeding. </w:t>
      </w:r>
      <w:r w:rsidR="00374233">
        <w:t>Breeding for photoperiodic sensitivity in plants with earlier greenup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p>
    <w:p w14:paraId="07D5AE03" w14:textId="6CC00740" w:rsidR="00374233" w:rsidRPr="001F188C" w:rsidRDefault="00374233" w:rsidP="000B43C1">
      <w:pPr>
        <w:rPr>
          <w:i/>
          <w:iCs/>
        </w:rPr>
      </w:pPr>
      <w:r w:rsidRPr="001F188C">
        <w:rPr>
          <w:i/>
          <w:iCs/>
        </w:rPr>
        <w:t># Here, we do xxx, yyy, zzz.</w:t>
      </w:r>
    </w:p>
    <w:p w14:paraId="75F10723" w14:textId="77777777" w:rsidR="00A70A2A" w:rsidRDefault="00A70A2A" w:rsidP="00A70A2A">
      <w:r>
        <w:t xml:space="preserve">Despite substantial study of the mechanisms controlling switchgrass development, genetics of flowering and prediction equations with broad application remain elusive. </w:t>
      </w:r>
    </w:p>
    <w:p w14:paraId="306704DB" w14:textId="10C7E014" w:rsidR="000B43C1" w:rsidRDefault="00A70A2A" w:rsidP="00AA114E">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 F2 cross between individuals from the most distinctive </w:t>
      </w:r>
      <w:r w:rsidR="009E0622">
        <w:t>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distinct genes and alleles controlling flowering across multiple distinct switchgrass populations.</w:t>
      </w:r>
    </w:p>
    <w:p w14:paraId="5784101B" w14:textId="77777777" w:rsidR="000B43C1" w:rsidRDefault="000B43C1">
      <w:pPr>
        <w:rPr>
          <w:b/>
          <w:bCs/>
        </w:rPr>
      </w:pPr>
    </w:p>
    <w:p w14:paraId="0342FADA" w14:textId="732B19A7" w:rsidR="00E466BF" w:rsidRPr="00723A28" w:rsidRDefault="00E466BF">
      <w:pPr>
        <w:rPr>
          <w:b/>
          <w:bCs/>
        </w:rPr>
      </w:pPr>
      <w:r w:rsidRPr="00723A28">
        <w:rPr>
          <w:b/>
          <w:bCs/>
        </w:rPr>
        <w:t>Results</w:t>
      </w:r>
    </w:p>
    <w:p w14:paraId="485FAC65" w14:textId="77777777" w:rsidR="00E466BF" w:rsidRDefault="00E466BF">
      <w:pPr>
        <w:rPr>
          <w:i/>
          <w:iCs/>
        </w:rPr>
      </w:pPr>
      <w:r>
        <w:rPr>
          <w:i/>
          <w:iCs/>
        </w:rPr>
        <w:t>Diversity panel captures the range of phenological responses across the common gardens</w:t>
      </w:r>
    </w:p>
    <w:p w14:paraId="69E5DFF2" w14:textId="7B4942AC"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6E16D6">
        <w:t>across these locations every three days.</w:t>
      </w:r>
      <w:r w:rsidR="00F16304">
        <w:t xml:space="preserve"> We divided these switchgrass genotypes into five categories: tetraploid individuals in the Atlantic, Midwest, and Gulf genetic subpopulations (Lovell et al </w:t>
      </w:r>
      <w:r w:rsidR="007D18ED">
        <w:t>202X</w:t>
      </w:r>
      <w:r w:rsidR="00F16304">
        <w:t>), admixed</w:t>
      </w:r>
      <w:r w:rsidR="009E0622">
        <w:t>/uncategorized</w:t>
      </w:r>
      <w:r w:rsidR="00F16304">
        <w:t xml:space="preserve"> tetraploid individuals, and octoploid individuals. We then explored the overall patterns of greenup and flowering within these five </w:t>
      </w:r>
      <w:r w:rsidR="006729EB">
        <w:t>subpopulations</w:t>
      </w:r>
      <w:r w:rsidR="00F16304">
        <w:t xml:space="preserve">. </w:t>
      </w:r>
    </w:p>
    <w:p w14:paraId="06F4C9AC" w14:textId="7F07D65F" w:rsidR="00AA114E" w:rsidRDefault="00AA114E" w:rsidP="009E0622">
      <w:pPr>
        <w:ind w:firstLine="720"/>
      </w:pPr>
      <w:r>
        <w:t xml:space="preserve">We first evaluated the evidence that switchgrass photoperiodicity was genotype dependent </w:t>
      </w:r>
      <w:r w:rsidR="00A44561">
        <w:t>–</w:t>
      </w:r>
      <w:r>
        <w:t xml:space="preserve"> specifi</w:t>
      </w:r>
      <w:r w:rsidR="00A44561">
        <w:t xml:space="preserve">cally, that switchgrass flowers when exposed to shortening days of a specific length. </w:t>
      </w:r>
      <w:r w:rsidR="00543C77">
        <w:t xml:space="preserve">Many genotypes flowered </w:t>
      </w:r>
      <w:r w:rsidR="00E92AC5">
        <w:t>while days were lengthenin</w:t>
      </w:r>
      <w:r w:rsidR="00543C77">
        <w:t xml:space="preserve">g </w:t>
      </w:r>
      <w:r w:rsidR="00543C77">
        <w:t>at the three southernmost sites</w:t>
      </w:r>
      <w:r w:rsidR="00483BCF">
        <w:t xml:space="preserve"> (Table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(Table </w:t>
      </w:r>
      <w:r w:rsidR="000A4FC8">
        <w:t>1; 85.3%, 94%, 99.5%</w:t>
      </w:r>
      <w:r w:rsidR="00A86B1F">
        <w:t>)</w:t>
      </w:r>
      <w:r w:rsidR="00483BCF">
        <w:t>.</w:t>
      </w:r>
      <w:r w:rsidR="00A86B1F">
        <w:t xml:space="preserve"> In addition, </w:t>
      </w:r>
      <w:r w:rsidR="00543C77">
        <w:t xml:space="preserve">for specific genotypes grown at multiple sites, </w:t>
      </w:r>
      <w:r w:rsidR="00A86B1F">
        <w:t>we observed no evidence for any specific day length that triggered flowering</w:t>
      </w:r>
      <w:r w:rsidR="00543C77">
        <w:t xml:space="preserve"> (how to show?).</w:t>
      </w:r>
      <w:r w:rsidR="006E389A">
        <w:t xml:space="preserve"> Our data thus </w:t>
      </w:r>
      <w:r w:rsidR="00351571">
        <w:lastRenderedPageBreak/>
        <w:t xml:space="preserve">only </w:t>
      </w:r>
      <w:r w:rsidR="006E389A">
        <w:t xml:space="preserve">strongly supports a </w:t>
      </w:r>
      <w:r w:rsidR="0056359B">
        <w:t xml:space="preserve">flowering time </w:t>
      </w:r>
      <w:r w:rsidR="006E389A">
        <w:t xml:space="preserve">photoperiodicity </w:t>
      </w:r>
      <w:r w:rsidR="006E389A">
        <w:t xml:space="preserve">cue </w:t>
      </w:r>
      <w:r w:rsidR="0056359B">
        <w:t xml:space="preserve">of shortening days </w:t>
      </w:r>
      <w:r w:rsidR="006E389A">
        <w:t xml:space="preserve">within </w:t>
      </w:r>
      <w:r w:rsidR="006E389A">
        <w:t>the Gulf</w:t>
      </w:r>
      <w:r w:rsidR="006E389A">
        <w:t xml:space="preserve"> subpopulatio</w:t>
      </w:r>
      <w:r w:rsidR="006E389A">
        <w:t>n.</w:t>
      </w:r>
    </w:p>
    <w:p w14:paraId="411632D7" w14:textId="5FAC6069" w:rsidR="00351571" w:rsidRDefault="00A2334A" w:rsidP="00A2334A">
      <w:r w:rsidRPr="00A2334A">
        <w:rPr>
          <w:b/>
          <w:bCs/>
          <w:noProof/>
        </w:rPr>
        <w:drawing>
          <wp:anchor distT="0" distB="0" distL="114300" distR="114300" simplePos="0" relativeHeight="251667456" behindDoc="0" locked="0" layoutInCell="1" allowOverlap="1" wp14:anchorId="6365CA10" wp14:editId="61A781DA">
            <wp:simplePos x="0" y="0"/>
            <wp:positionH relativeFrom="margin">
              <wp:align>left</wp:align>
            </wp:positionH>
            <wp:positionV relativeFrom="paragraph">
              <wp:posOffset>407670</wp:posOffset>
            </wp:positionV>
            <wp:extent cx="5486400" cy="3392170"/>
            <wp:effectExtent l="0" t="0" r="0" b="0"/>
            <wp:wrapSquare wrapText="bothSides"/>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length_change_subpo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anchor>
        </w:drawing>
      </w:r>
      <w:r w:rsidRPr="00A2334A">
        <w:rPr>
          <w:b/>
          <w:bCs/>
        </w:rPr>
        <w:t>Figure 1.</w:t>
      </w:r>
      <w:r>
        <w:t xml:space="preserve"> Many genotypes do not have a shortening day photoperiodicity cue at the southern common garden sites.</w:t>
      </w:r>
      <w:commentRangeStart w:id="1"/>
      <w:commentRangeEnd w:id="1"/>
      <w:r w:rsidR="0056359B">
        <w:rPr>
          <w:rStyle w:val="CommentReference"/>
        </w:rPr>
        <w:commentReference w:id="1"/>
      </w:r>
    </w:p>
    <w:p w14:paraId="3D48899C" w14:textId="43D7F30A" w:rsidR="00741E58" w:rsidRDefault="00351571" w:rsidP="009E0622">
      <w:pPr>
        <w:ind w:firstLine="720"/>
      </w:pPr>
      <w:r>
        <w:t>To identify an additional environmental cue for flowering, w</w:t>
      </w:r>
      <w:r w:rsidR="00A86B1F">
        <w:t xml:space="preserve">e </w:t>
      </w:r>
      <w:commentRangeStart w:id="2"/>
      <w:commentRangeEnd w:id="2"/>
      <w:r w:rsidR="009E0622">
        <w:rPr>
          <w:rStyle w:val="CommentReference"/>
        </w:rPr>
        <w:commentReference w:id="2"/>
      </w:r>
      <w:r w:rsidR="006E389A">
        <w:t>evaluated</w:t>
      </w:r>
      <w:r w:rsidR="007D18ED">
        <w:t xml:space="preserve"> </w:t>
      </w:r>
      <w:r w:rsidR="00A86B1F">
        <w:t>flowering date</w:t>
      </w:r>
      <w:r w:rsidR="007D18ED">
        <w:t xml:space="preserve"> as a function of cumulative GDD</w:t>
      </w:r>
      <w:r w:rsidR="00CB3AE3">
        <w:t xml:space="preserve"> between greenup and flowering</w:t>
      </w:r>
      <w:r w:rsidR="00723A28">
        <w:t xml:space="preserve"> (</w:t>
      </w:r>
      <w:r w:rsidR="008869BD">
        <w:t>Kiniry et al 2005,</w:t>
      </w:r>
      <w:r w:rsidR="00723A28">
        <w:t xml:space="preserve"> </w:t>
      </w:r>
      <w:r w:rsidR="008869BD">
        <w:t>Behrman 2013).</w:t>
      </w:r>
      <w:r w:rsidR="00723A28">
        <w:t xml:space="preserve"> </w:t>
      </w:r>
      <w:r w:rsidR="00205939">
        <w:t xml:space="preserve">GDD explained most of the variation in flowering time between sites for most subpopulations, particularly for the Midwest subpopulation (variance components results). The Midwest required the </w:t>
      </w:r>
      <w:r w:rsidR="001F591D">
        <w:t>smallest</w:t>
      </w:r>
      <w:r w:rsidR="00205939">
        <w:t xml:space="preserve"> GDD before flowering (585 +/- 12 GDD), and the Gulf required the </w:t>
      </w:r>
      <w:r w:rsidR="001F591D">
        <w:t>largest</w:t>
      </w:r>
      <w:r w:rsidR="00205939">
        <w:t xml:space="preserve"> before flowering</w:t>
      </w:r>
      <w:r w:rsidR="00487648">
        <w:t xml:space="preserve"> (1238 +/- 378 GDD), with the other three subpopulations falling in between (708 – 750 +/- 106-123 GDD).</w:t>
      </w:r>
      <w:r w:rsidR="00205939">
        <w:t xml:space="preserve"> </w:t>
      </w:r>
      <w:r w:rsidR="00741E58">
        <w:t xml:space="preserve">Thus, the Midwest subpopulation had the most consistent response to a GDD cue for flowering, while the Gulf subpopulation had the most consistent response to a photoperiod cue for flowering. Differential responses to these cues </w:t>
      </w:r>
      <w:r w:rsidR="00FD1EA5">
        <w:t xml:space="preserve">were observable at the three </w:t>
      </w:r>
      <w:r w:rsidR="00741E58">
        <w:t xml:space="preserve">southernmost common gardens. </w:t>
      </w:r>
    </w:p>
    <w:p w14:paraId="29A56BFD" w14:textId="4A2C86CD" w:rsidR="00741E58" w:rsidRDefault="00741E58" w:rsidP="009E0622">
      <w:pPr>
        <w:ind w:firstLine="720"/>
      </w:pPr>
    </w:p>
    <w:p w14:paraId="293C41A9" w14:textId="07AFCC69" w:rsidR="00741E58" w:rsidRDefault="00741E58" w:rsidP="009E0622">
      <w:pPr>
        <w:ind w:firstLine="720"/>
      </w:pPr>
    </w:p>
    <w:p w14:paraId="2C2A0DBC" w14:textId="4480048D" w:rsidR="00487648" w:rsidRDefault="00487648"/>
    <w:p w14:paraId="7E3B6A6A" w14:textId="4BE1C9E5" w:rsidR="00F4170F" w:rsidRPr="00F4170F" w:rsidRDefault="00F4170F">
      <w:pPr>
        <w:rPr>
          <w:i/>
          <w:iCs/>
        </w:rPr>
      </w:pPr>
      <w:r>
        <w:rPr>
          <w:i/>
          <w:iCs/>
        </w:rPr>
        <w:t xml:space="preserve">Fourway cross </w:t>
      </w:r>
      <w:r w:rsidR="00DC1F5D">
        <w:rPr>
          <w:i/>
          <w:iCs/>
        </w:rPr>
        <w:t>breaks up genetics of flowering for the two most distinctive subpopulations</w:t>
      </w:r>
    </w:p>
    <w:p w14:paraId="274FB8A3" w14:textId="7F0A0BD1" w:rsidR="002A0403" w:rsidRDefault="00487648" w:rsidP="00DC1F5D">
      <w:pPr>
        <w:ind w:firstLine="720"/>
      </w:pPr>
      <w:r>
        <w:t>The Midwest and Gulf subpopulations had the most distinct phenological responses out of all subpopulations across our common gardens</w:t>
      </w:r>
      <w:r w:rsidR="00AA0FD7">
        <w:t xml:space="preserve">. </w:t>
      </w:r>
      <w:r w:rsidR="00BF7FD8">
        <w:t>T</w:t>
      </w:r>
      <w:r w:rsidR="00AA0FD7">
        <w:t xml:space="preserve">hese populations appeared to be </w:t>
      </w:r>
      <w:r w:rsidR="0074757D">
        <w:t>flowering in response</w:t>
      </w:r>
      <w:r w:rsidR="00AA0FD7">
        <w:t xml:space="preserve"> to two distinct environmental cues </w:t>
      </w:r>
      <w:r w:rsidR="0074757D">
        <w:t>–in the Midwest</w:t>
      </w:r>
      <w:r w:rsidR="00BF7FD8">
        <w:t>, plants flowered consistently at a similar minimum cumulative GDD</w:t>
      </w:r>
      <w:r w:rsidR="0074757D">
        <w:t xml:space="preserve">, </w:t>
      </w:r>
      <w:r w:rsidR="00BF7FD8">
        <w:t>while we hypothesized the presence of a</w:t>
      </w:r>
      <w:r w:rsidR="00855134">
        <w:t>n additional</w:t>
      </w:r>
      <w:r w:rsidR="00BF7FD8">
        <w:t xml:space="preserve"> </w:t>
      </w:r>
      <w:r w:rsidR="0074757D">
        <w:t>photoperiod cue in the Gulf.</w:t>
      </w:r>
      <w:r w:rsidR="00855134">
        <w:t xml:space="preserve"> North of our southernmost site, almost all Gulf plants flowered after a certain cumulative GDD was </w:t>
      </w:r>
      <w:r w:rsidR="00855134">
        <w:lastRenderedPageBreak/>
        <w:t>reached and after daylength started decreasing.</w:t>
      </w:r>
      <w:r w:rsidR="0074757D">
        <w:t xml:space="preserve"> To analyze the genes and alleles underlying the phenological responses in our most distinct subpopulations, we used an F2 cross between four individuals, two Midwest and two Gulf individuals. The parents of this cross were </w:t>
      </w:r>
      <w:r w:rsidR="00950031">
        <w:t xml:space="preserve">DAC, an early flowering Midwest individual, VS16, a late flowering Midwest individual, AP13, an early flowering Gulf individual, and WBC, a late flowering Gulf individual. </w:t>
      </w:r>
      <w:r w:rsidR="005D4CBB">
        <w:t xml:space="preserve">We made F1 crosses of the two early flowering individuals, AP13xDAC, and the two late flowering individuals, WBCxVS16. </w:t>
      </w:r>
      <w:r w:rsidR="00950031">
        <w:t xml:space="preserve">We </w:t>
      </w:r>
      <w:r w:rsidR="005D4CBB">
        <w:t xml:space="preserve">then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50031">
        <w:t>XXX F2 individuals</w:t>
      </w:r>
      <w:r w:rsidR="00BF7FD8">
        <w:t xml:space="preserve"> at eight field sites</w:t>
      </w:r>
      <w:r w:rsidR="00950031">
        <w:t>, and recorded greenup and flowering dat</w:t>
      </w:r>
      <w:r w:rsidR="00BF7FD8">
        <w:t>e</w:t>
      </w:r>
      <w:r w:rsidR="00950031">
        <w:t xml:space="preserve"> for the 2016-2019 seasons. </w:t>
      </w:r>
      <w:r w:rsidR="005D4CBB">
        <w:t xml:space="preserve">Though there was a X day gap in flowering </w:t>
      </w:r>
      <w:r w:rsidR="00C1388E">
        <w:t xml:space="preserve">between the two F1 crosses, </w:t>
      </w:r>
      <w:commentRangeStart w:id="3"/>
      <w:r w:rsidR="00950031">
        <w:t xml:space="preserve">F1 </w:t>
      </w:r>
      <w:commentRangeEnd w:id="3"/>
      <w:r w:rsidR="0095061C">
        <w:rPr>
          <w:rStyle w:val="CommentReference"/>
        </w:rPr>
        <w:commentReference w:id="3"/>
      </w:r>
      <w:r w:rsidR="00950031">
        <w:t xml:space="preserve">individuals flowered at similar </w:t>
      </w:r>
      <w:r w:rsidR="00855134">
        <w:t>dates as</w:t>
      </w:r>
      <w:r w:rsidR="00950031">
        <w:t xml:space="preserve"> the</w:t>
      </w:r>
      <w:r w:rsidR="00BF7FD8">
        <w:t xml:space="preserve"> </w:t>
      </w:r>
      <w:r w:rsidR="00950031">
        <w:t>Midwest parents</w:t>
      </w:r>
      <w:r w:rsidR="00C1388E">
        <w:t xml:space="preserve"> and Midwest subpopulation individuals in general</w:t>
      </w:r>
      <w:r w:rsidR="00950031">
        <w:t>, indicating that the</w:t>
      </w:r>
      <w:r w:rsidR="00BF7FD8">
        <w:t xml:space="preserve"> flowering time</w:t>
      </w:r>
      <w:r w:rsidR="00950031">
        <w:t xml:space="preserve"> genetic </w:t>
      </w:r>
      <w:r w:rsidR="00BF7FD8">
        <w:t>response to</w:t>
      </w:r>
      <w:r w:rsidR="00950031">
        <w:t xml:space="preserve"> </w:t>
      </w:r>
      <w:r w:rsidR="00855134">
        <w:t xml:space="preserve">the Midwestern </w:t>
      </w:r>
      <w:r w:rsidR="00406FA1">
        <w:t xml:space="preserve">cumulative GDD </w:t>
      </w:r>
      <w:r w:rsidR="00BF7FD8">
        <w:t xml:space="preserve">was </w:t>
      </w:r>
      <w:r w:rsidR="00406FA1">
        <w:t xml:space="preserve">dominant to the photoperiod </w:t>
      </w:r>
      <w:r w:rsidR="00BF7FD8">
        <w:t>response</w:t>
      </w:r>
      <w:r w:rsidR="00855134">
        <w:t xml:space="preserve"> and the higher cumulative GDD required by the Gulf subpopulation</w:t>
      </w:r>
      <w:r w:rsidR="00406FA1">
        <w:t xml:space="preserve">. At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greenup and flowering dates as</w:t>
      </w:r>
      <w:r w:rsidR="00313DBE">
        <w:t xml:space="preserve"> </w:t>
      </w:r>
      <w:r w:rsidR="00BF7FD8">
        <w:t xml:space="preserve">individuals from the </w:t>
      </w:r>
      <w:r w:rsidR="00313DBE">
        <w:t>Midwest</w:t>
      </w:r>
      <w:r w:rsidR="00BF7FD8">
        <w:t xml:space="preserve"> sub</w:t>
      </w:r>
      <w:r w:rsidR="00313DBE">
        <w:t>population</w:t>
      </w:r>
      <w:r w:rsidR="00BF7FD8">
        <w:t xml:space="preserve">. </w:t>
      </w:r>
      <w:r w:rsidR="002C2BA5">
        <w:t xml:space="preserve">However, </w:t>
      </w:r>
      <w:r w:rsidR="000A5C17">
        <w:t xml:space="preserve">F2 individuals at </w:t>
      </w:r>
      <w:r w:rsidR="002C2BA5">
        <w:t>PKLE and TMPL</w:t>
      </w:r>
      <w:r w:rsidR="000A5C17">
        <w:t xml:space="preserve"> had flowering dates similar to late flowering Midwest individuals to </w:t>
      </w:r>
      <w:commentRangeStart w:id="4"/>
      <w:r w:rsidR="002C2BA5">
        <w:rPr>
          <w:noProof/>
        </w:rPr>
        <w:drawing>
          <wp:anchor distT="0" distB="0" distL="114300" distR="114300" simplePos="0" relativeHeight="251660288" behindDoc="0" locked="0" layoutInCell="1" allowOverlap="1" wp14:anchorId="5378B3CC" wp14:editId="3645EC99">
            <wp:simplePos x="0" y="0"/>
            <wp:positionH relativeFrom="margin">
              <wp:align>right</wp:align>
            </wp:positionH>
            <wp:positionV relativeFrom="paragraph">
              <wp:posOffset>1127125</wp:posOffset>
            </wp:positionV>
            <wp:extent cx="5943600" cy="3674110"/>
            <wp:effectExtent l="0" t="0" r="0" b="254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ylength_vs_GR50_FL50_GWAS_and_FWCR_F2_only_longest_day_line_with_rainf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anchor>
        </w:drawing>
      </w:r>
      <w:commentRangeEnd w:id="4"/>
      <w:r w:rsidR="00866E58">
        <w:rPr>
          <w:rStyle w:val="CommentReference"/>
        </w:rPr>
        <w:commentReference w:id="4"/>
      </w:r>
      <w:r w:rsidR="000A5C17">
        <w:t>e</w:t>
      </w:r>
      <w:r w:rsidR="002C2BA5">
        <w:t xml:space="preserve">arly- to mid-range flowering Gulf individuals. </w:t>
      </w:r>
      <w:r w:rsidR="000A5C17">
        <w:t xml:space="preserve">Thus, at the northern five sites, we expected to find QTL controlling flowering date from the Midwest subpopulation, potentially by affecting the cumulative GDD requirements for the </w:t>
      </w:r>
      <w:r w:rsidR="002A0403" w:rsidRPr="002A0403">
        <w:rPr>
          <w:noProof/>
        </w:rPr>
        <w:drawing>
          <wp:anchor distT="0" distB="0" distL="114300" distR="114300" simplePos="0" relativeHeight="251661312" behindDoc="1" locked="0" layoutInCell="1" allowOverlap="1" wp14:anchorId="5727DAF0" wp14:editId="66F9FECA">
            <wp:simplePos x="0" y="0"/>
            <wp:positionH relativeFrom="margin">
              <wp:posOffset>2990850</wp:posOffset>
            </wp:positionH>
            <wp:positionV relativeFrom="paragraph">
              <wp:posOffset>6454775</wp:posOffset>
            </wp:positionV>
            <wp:extent cx="2946400" cy="1767840"/>
            <wp:effectExtent l="0" t="0" r="6350" b="3810"/>
            <wp:wrapTight wrapText="bothSides">
              <wp:wrapPolygon edited="0">
                <wp:start x="0" y="0"/>
                <wp:lineTo x="0" y="21414"/>
                <wp:lineTo x="21507" y="21414"/>
                <wp:lineTo x="21507"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6400" cy="1767840"/>
                    </a:xfrm>
                    <a:prstGeom prst="rect">
                      <a:avLst/>
                    </a:prstGeom>
                  </pic:spPr>
                </pic:pic>
              </a:graphicData>
            </a:graphic>
            <wp14:sizeRelH relativeFrom="margin">
              <wp14:pctWidth>0</wp14:pctWidth>
            </wp14:sizeRelH>
            <wp14:sizeRelV relativeFrom="margin">
              <wp14:pctHeight>0</wp14:pctHeight>
            </wp14:sizeRelV>
          </wp:anchor>
        </w:drawing>
      </w:r>
      <w:r w:rsidR="000A5C17">
        <w:t xml:space="preserve">plant before flowering. In contrast, at TMPL and PKLE, there was the potential to isolate QTL that affected the ability of the plant to flower in response to a photoperiod cue.  </w:t>
      </w:r>
    </w:p>
    <w:p w14:paraId="6874EDF5" w14:textId="48E44AA2" w:rsidR="002A0403" w:rsidRDefault="002A0403" w:rsidP="00DC1F5D">
      <w:pPr>
        <w:ind w:firstLine="720"/>
      </w:pPr>
      <w:r>
        <w:t>W</w:t>
      </w:r>
      <w:r w:rsidR="00872127">
        <w:t xml:space="preserve">e analyzed greenup and flowering </w:t>
      </w:r>
      <w:r>
        <w:t>in</w:t>
      </w:r>
      <w:r w:rsidR="00872127">
        <w:t xml:space="preserve"> 2019 for seven fourway sites. We anticipated </w:t>
      </w:r>
      <w:r w:rsidR="00872127">
        <w:lastRenderedPageBreak/>
        <w:t xml:space="preserve">finding QTL </w:t>
      </w:r>
      <w:r>
        <w:t>at</w:t>
      </w:r>
      <w:r w:rsidR="00872127">
        <w:t xml:space="preserve"> the north</w:t>
      </w:r>
      <w:r>
        <w:t>ern common gardens</w:t>
      </w:r>
      <w:r w:rsidR="00872127">
        <w:t xml:space="preserve"> that distinguished between early and late-flowering Midwestern alleles, while Pickle offered the opportunity to examine some effects of Gulf alleles. There were no significant QTL for greenup.</w:t>
      </w:r>
      <w:r>
        <w:t xml:space="preserve"> There were eight QTL for flowering date in the fourway cross; the largest QTL were on Chr02N, Chr04K, and Chr05N. All eight QTL exhibited significant GxE between common garden sites. </w:t>
      </w:r>
      <w:r w:rsidR="00855134">
        <w:t>Due to our cross design, w</w:t>
      </w:r>
      <w:r w:rsidR="00C1388E">
        <w:t xml:space="preserve">e could estimate allelic effects of alleles from both F1 individuals. </w:t>
      </w:r>
      <w:r w:rsidR="005D4CBB">
        <w:t xml:space="preserve">In the </w:t>
      </w:r>
      <w:r w:rsidR="00C1388E">
        <w:t>early flowering alleles, AxB,</w:t>
      </w:r>
      <w:r w:rsidR="005D4CBB">
        <w:t xml:space="preserve"> at PKLE, five of eight lowland alleles delayed flowering date. In the CxD cross at PKLE, four of eight lowland alleles delayed flowering date – four of the same five regions that delayed flowering date in the AxB cross.</w:t>
      </w:r>
      <w:r w:rsidR="00855134">
        <w:t xml:space="preserve"> These </w:t>
      </w:r>
      <w:r w:rsidR="0061553C">
        <w:t>effects</w:t>
      </w:r>
      <w:r w:rsidR="00855134">
        <w:t xml:space="preserve"> were consistent with the observed order of flowering in the F0 and F1.</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28 site</w:t>
      </w:r>
      <w:r w:rsidR="00855134">
        <w:t xml:space="preserve"> by QTL combinations for the AxB early flowering alleles</w:t>
      </w:r>
      <w:r w:rsidR="002059D6">
        <w:t xml:space="preserve">, the Midwest allele was accelerating flowering. </w:t>
      </w:r>
      <w:r w:rsidR="00855134">
        <w:t xml:space="preserve">For </w:t>
      </w:r>
      <w:r w:rsidR="002059D6">
        <w:t>16 site</w:t>
      </w:r>
      <w:r w:rsidR="00855134">
        <w:t xml:space="preserve"> by QTL combinations for the </w:t>
      </w:r>
      <w:r w:rsidR="002059D6">
        <w:t xml:space="preserve">CxD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 xml:space="preserve">These effects were also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 in the Midwest subpopulation. </w:t>
      </w:r>
      <w:r w:rsidR="001F188C" w:rsidRPr="002A0403">
        <w:rPr>
          <w:noProof/>
        </w:rPr>
        <w:drawing>
          <wp:anchor distT="0" distB="0" distL="114300" distR="114300" simplePos="0" relativeHeight="251666432" behindDoc="0" locked="0" layoutInCell="1" allowOverlap="1" wp14:anchorId="7E69B34D" wp14:editId="38108723">
            <wp:simplePos x="0" y="0"/>
            <wp:positionH relativeFrom="margin">
              <wp:posOffset>0</wp:posOffset>
            </wp:positionH>
            <wp:positionV relativeFrom="paragraph">
              <wp:posOffset>1205865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p>
    <w:p w14:paraId="51906058" w14:textId="7910144C" w:rsidR="002A0403" w:rsidRDefault="001F188C" w:rsidP="002A0403">
      <w:r w:rsidRPr="002C2BA5">
        <w:rPr>
          <w:noProof/>
        </w:rPr>
        <w:lastRenderedPageBreak/>
        <w:drawing>
          <wp:anchor distT="0" distB="0" distL="114300" distR="114300" simplePos="0" relativeHeight="251664384" behindDoc="0" locked="0" layoutInCell="1" allowOverlap="1" wp14:anchorId="39688C1F" wp14:editId="4685B092">
            <wp:simplePos x="0" y="0"/>
            <wp:positionH relativeFrom="margin">
              <wp:align>left</wp:align>
            </wp:positionH>
            <wp:positionV relativeFrom="paragraph">
              <wp:posOffset>3401060</wp:posOffset>
            </wp:positionV>
            <wp:extent cx="3677920"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7920" cy="2136775"/>
                    </a:xfrm>
                    <a:prstGeom prst="rect">
                      <a:avLst/>
                    </a:prstGeom>
                  </pic:spPr>
                </pic:pic>
              </a:graphicData>
            </a:graphic>
          </wp:anchor>
        </w:drawing>
      </w:r>
      <w:r w:rsidR="00247A73">
        <w:t xml:space="preserve">Kingsville represents a marked departure from the temperate growth habits at the other nine sites. In general, </w:t>
      </w:r>
      <w:commentRangeStart w:id="5"/>
      <w:commentRangeStart w:id="6"/>
      <w:commentRangeStart w:id="7"/>
      <w:r w:rsidR="00247A73">
        <w:t>heritability</w:t>
      </w:r>
      <w:commentRangeEnd w:id="5"/>
      <w:r w:rsidR="00247A73">
        <w:rPr>
          <w:rStyle w:val="CommentReference"/>
        </w:rPr>
        <w:commentReference w:id="5"/>
      </w:r>
      <w:commentRangeEnd w:id="6"/>
      <w:r w:rsidR="00247A73">
        <w:rPr>
          <w:rStyle w:val="CommentReference"/>
        </w:rPr>
        <w:commentReference w:id="6"/>
      </w:r>
      <w:commentRangeEnd w:id="7"/>
      <w:r w:rsidR="00247A73">
        <w:rPr>
          <w:rStyle w:val="CommentReference"/>
        </w:rPr>
        <w:commentReference w:id="7"/>
      </w:r>
      <w:r w:rsidR="00247A73">
        <w:t xml:space="preserve"> for flowering was lowest at Kingsville in both the diversity panel and the fourway cross, indicating a larger effect of environment on phenotypic variance at this site. At this site</w:t>
      </w:r>
      <w:r w:rsidR="002059D6">
        <w:t xml:space="preserve">, 2 AxB Midwest QTL accelerated flowering, and 2 delayed flowering. In CxD, alleles at four Midwest QTL accelerated flowering.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7E8EDF95" w14:textId="77777777" w:rsidR="001F188C" w:rsidRDefault="001F188C" w:rsidP="00247A73">
      <w:pPr>
        <w:ind w:firstLine="720"/>
      </w:pPr>
    </w:p>
    <w:p w14:paraId="6DC17A70" w14:textId="77777777" w:rsidR="001F188C" w:rsidRDefault="001F188C" w:rsidP="00247A73">
      <w:pPr>
        <w:ind w:firstLine="720"/>
      </w:pPr>
    </w:p>
    <w:p w14:paraId="65B207CA" w14:textId="77777777" w:rsidR="001F188C" w:rsidRDefault="001F188C" w:rsidP="00247A73">
      <w:pPr>
        <w:ind w:firstLine="720"/>
      </w:pPr>
    </w:p>
    <w:p w14:paraId="3A4C7CEA" w14:textId="38002EAD" w:rsidR="00DC1F5D" w:rsidRPr="00DC1F5D" w:rsidRDefault="00DC1F5D" w:rsidP="00DC1F5D">
      <w:pPr>
        <w:rPr>
          <w:i/>
          <w:iCs/>
        </w:rPr>
      </w:pPr>
      <w:r>
        <w:rPr>
          <w:i/>
          <w:iCs/>
        </w:rPr>
        <w:t>Genome wide association identifies candidates affecting flowering in fourway QTL intervals</w:t>
      </w:r>
    </w:p>
    <w:p w14:paraId="7D112311" w14:textId="300B3DBE" w:rsidR="00335591" w:rsidRDefault="00AE5D08" w:rsidP="00247A73">
      <w:pPr>
        <w:ind w:firstLine="720"/>
      </w:pPr>
      <w:r>
        <w:t xml:space="preserve">Though QTLs detected using the fourway cross are too coarse to be informative about gene identity by themselves, combining linkage and association mapping can outperform each method used in isolation (cite Brachi, others?). 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8"/>
      <w:r>
        <w:t xml:space="preserve">with one or more of </w:t>
      </w:r>
      <w:commentRangeEnd w:id="8"/>
      <w:r>
        <w:rPr>
          <w:rStyle w:val="CommentReference"/>
        </w:rPr>
        <w:commentReference w:id="8"/>
      </w:r>
      <w:r>
        <w:t>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lastRenderedPageBreak/>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I don’t know how to tie genomic prediction in here.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2CB5BEA5"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34EC966D" w14:textId="77777777" w:rsidR="00AC59C4" w:rsidRDefault="00AC59C4"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4D606A3C" w:rsidR="00AC59C4" w:rsidRDefault="00AC59C4" w:rsidP="002621DA"/>
    <w:p w14:paraId="06D85F2F" w14:textId="35C84A51" w:rsidR="00A2334A" w:rsidRDefault="00A2334A" w:rsidP="002621DA"/>
    <w:p w14:paraId="77D682C9" w14:textId="77777777" w:rsidR="00A2334A" w:rsidRDefault="00A2334A" w:rsidP="00A2334A">
      <w:pPr>
        <w:ind w:firstLine="720"/>
      </w:pPr>
    </w:p>
    <w:p w14:paraId="7B645313" w14:textId="77777777" w:rsidR="00A2334A" w:rsidRDefault="00A2334A" w:rsidP="00A2334A">
      <w:pPr>
        <w:ind w:firstLine="720"/>
      </w:pPr>
    </w:p>
    <w:p w14:paraId="52D3FC0F" w14:textId="77777777" w:rsidR="00A2334A" w:rsidRDefault="00A2334A" w:rsidP="00A2334A">
      <w:pPr>
        <w:ind w:firstLine="720"/>
      </w:pPr>
      <w:r>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w:t>
      </w:r>
      <w:r>
        <w:lastRenderedPageBreak/>
        <w:t xml:space="preserve">subpopulation, and the presence of a </w:t>
      </w:r>
      <w:commentRangeStart w:id="9"/>
      <w:commentRangeEnd w:id="9"/>
      <w:r>
        <w:rPr>
          <w:rStyle w:val="CommentReference"/>
        </w:rPr>
        <w:commentReference w:id="9"/>
      </w:r>
      <w:r>
        <w:t xml:space="preserve">relationship between latitude of common </w:t>
      </w:r>
      <w:r>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77777777"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ice MacQueen" w:date="2020-06-02T14:07:00Z" w:initials="AHM">
    <w:p w14:paraId="00163676" w14:textId="77777777" w:rsidR="0056359B" w:rsidRDefault="0056359B">
      <w:pPr>
        <w:pStyle w:val="CommentText"/>
      </w:pPr>
      <w:r>
        <w:rPr>
          <w:rStyle w:val="CommentReference"/>
        </w:rPr>
        <w:annotationRef/>
      </w:r>
      <w:r>
        <w:t>Best can do on this plot for now – the x axis and x axis labels should change somehow. These aren’t in scientific writing.</w:t>
      </w:r>
    </w:p>
    <w:p w14:paraId="3AF7EAE2" w14:textId="77777777" w:rsidR="00D11638" w:rsidRDefault="00D11638">
      <w:pPr>
        <w:pStyle w:val="CommentText"/>
      </w:pPr>
    </w:p>
    <w:p w14:paraId="26C872AB" w14:textId="3D033237" w:rsidR="00D11638" w:rsidRDefault="00D11638">
      <w:pPr>
        <w:pStyle w:val="CommentText"/>
      </w:pPr>
      <w:r>
        <w:t>Also probably will change the colors assigned to each subpop. Use John’s colors?</w:t>
      </w:r>
    </w:p>
  </w:comment>
  <w:comment w:id="2" w:author="Alice MacQueen" w:date="2020-05-28T12:36:00Z" w:initials="AHM">
    <w:p w14:paraId="2843803C" w14:textId="4D5392EB" w:rsidR="009E0622" w:rsidRDefault="009E0622">
      <w:pPr>
        <w:pStyle w:val="CommentText"/>
      </w:pPr>
      <w:r>
        <w:rPr>
          <w:rStyle w:val="CommentReference"/>
        </w:rPr>
        <w:annotationRef/>
      </w:r>
      <w:r>
        <w:t xml:space="preserve">This should mirror the knowledge of mechanisms for flowering from the intro – probably photoperiod first. </w:t>
      </w:r>
      <w:r w:rsidR="00F7771E">
        <w:t xml:space="preserve">Then some plot that shows how tons of individuals flower before daylengths start shortening at several sites. </w:t>
      </w:r>
      <w:r>
        <w:t xml:space="preserve">Then </w:t>
      </w:r>
      <w:r w:rsidR="00F7771E">
        <w:t xml:space="preserve">use </w:t>
      </w:r>
      <w:r>
        <w:t>GDD</w:t>
      </w:r>
      <w:r w:rsidR="00F7771E">
        <w:t xml:space="preserve"> instead</w:t>
      </w:r>
      <w:r>
        <w:t>?</w:t>
      </w:r>
    </w:p>
  </w:comment>
  <w:comment w:id="3" w:author="Alice MacQueen" w:date="2020-05-27T09:39:00Z" w:initials="AHM">
    <w:p w14:paraId="6E1DCFDE" w14:textId="7C4DA246" w:rsidR="0095061C" w:rsidRDefault="0095061C">
      <w:pPr>
        <w:pStyle w:val="CommentText"/>
      </w:pPr>
      <w:r>
        <w:rPr>
          <w:rStyle w:val="CommentReference"/>
        </w:rPr>
        <w:annotationRef/>
      </w:r>
      <w:r>
        <w:t>I’d like to make a figure – maybe it will be a supplementary one – for the parents and for the F1 distribution of greenup and flowering, to support this.</w:t>
      </w:r>
    </w:p>
  </w:comment>
  <w:comment w:id="4" w:author="Alice MacQueen" w:date="2020-05-21T13:37:00Z" w:initials="AHM">
    <w:p w14:paraId="5AA63383" w14:textId="77777777" w:rsidR="00866E58" w:rsidRDefault="00866E58">
      <w:pPr>
        <w:pStyle w:val="CommentText"/>
      </w:pPr>
      <w:r>
        <w:rPr>
          <w:rStyle w:val="CommentReference"/>
        </w:rPr>
        <w:annotationRef/>
      </w:r>
      <w:r>
        <w:t>This figure has too much going on. X axis is day of the year. Daylength at that site is the black heavy curve. Rainfall in cm are the blue dots. Then the other colored dots are when different individuals greened up and flowered at that site (colors indicate genetic subpop for the GWAS, or year of data for the fourway – I added 2018 data at Temple for exploratory purposes).</w:t>
      </w:r>
    </w:p>
    <w:p w14:paraId="3792CDA4" w14:textId="77777777" w:rsidR="00866E58" w:rsidRDefault="00866E58">
      <w:pPr>
        <w:pStyle w:val="CommentText"/>
      </w:pPr>
    </w:p>
    <w:p w14:paraId="224B8969" w14:textId="6C581174" w:rsidR="00866E58" w:rsidRDefault="00866E58">
      <w:pPr>
        <w:pStyle w:val="CommentText"/>
      </w:pPr>
      <w:r>
        <w:t>The main takeaway of this figure is that the F2 individuals from the fourway mostly have greenup and flowering dates like the Midwest subpop from the GWAS.</w:t>
      </w:r>
      <w:r w:rsidR="00286B13">
        <w:t xml:space="preserve"> Except for at Pickle and Temple.</w:t>
      </w:r>
    </w:p>
  </w:comment>
  <w:comment w:id="5" w:author="Alice MacQueen" w:date="2020-05-21T12:13:00Z" w:initials="AHM">
    <w:p w14:paraId="6BDF5DDF" w14:textId="77777777" w:rsidR="00247A73" w:rsidRDefault="00247A73" w:rsidP="00247A73">
      <w:pPr>
        <w:pStyle w:val="ListParagraph"/>
        <w:numPr>
          <w:ilvl w:val="0"/>
          <w:numId w:val="1"/>
        </w:numPr>
      </w:pPr>
      <w:r>
        <w:rPr>
          <w:rStyle w:val="CommentReference"/>
        </w:rPr>
        <w:annotationRef/>
      </w:r>
      <w:r>
        <w:t>Show the QTL regions and GxE patterns in the fourway – maybe looking for daylength sensitivity and for cumulative GDD requirements in this cross, if we can figure out how to model that. We could use all five years of data here. Maybe a model like the GWAS model below if possible.</w:t>
      </w:r>
    </w:p>
    <w:p w14:paraId="73213749" w14:textId="77777777" w:rsidR="00247A73" w:rsidRDefault="00247A73" w:rsidP="00247A73">
      <w:pPr>
        <w:pStyle w:val="CommentText"/>
      </w:pPr>
    </w:p>
  </w:comment>
  <w:comment w:id="6" w:author="Alice MacQueen" w:date="2020-05-21T12:21:00Z" w:initials="AHM">
    <w:p w14:paraId="5C52CE59" w14:textId="77777777" w:rsidR="00247A73" w:rsidRDefault="00247A73" w:rsidP="00247A7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6FC31CA6" w14:textId="77777777" w:rsidR="00247A73" w:rsidRDefault="00247A73" w:rsidP="00247A73">
      <w:pPr>
        <w:pStyle w:val="CommentText"/>
        <w:rPr>
          <w:rFonts w:ascii="Verdana" w:hAnsi="Verdana"/>
        </w:rPr>
      </w:pPr>
      <w:r>
        <w:rPr>
          <w:rFonts w:ascii="Verdana" w:hAnsi="Verdana"/>
        </w:rPr>
        <w:t>DAC: early flowering Midwest</w:t>
      </w:r>
    </w:p>
    <w:p w14:paraId="2B2EF0DC" w14:textId="77777777" w:rsidR="00247A73" w:rsidRDefault="00247A73" w:rsidP="00247A73">
      <w:pPr>
        <w:pStyle w:val="CommentText"/>
        <w:rPr>
          <w:rFonts w:ascii="Verdana" w:hAnsi="Verdana"/>
        </w:rPr>
      </w:pPr>
      <w:r>
        <w:rPr>
          <w:rFonts w:ascii="Verdana" w:hAnsi="Verdana"/>
        </w:rPr>
        <w:t>VS16: late flowering Midwest</w:t>
      </w:r>
    </w:p>
    <w:p w14:paraId="42DAF8C5" w14:textId="77777777" w:rsidR="00247A73" w:rsidRDefault="00247A73" w:rsidP="00247A73">
      <w:pPr>
        <w:pStyle w:val="CommentText"/>
        <w:rPr>
          <w:rFonts w:ascii="Verdana" w:hAnsi="Verdana"/>
        </w:rPr>
      </w:pPr>
      <w:r>
        <w:rPr>
          <w:rFonts w:ascii="Verdana" w:hAnsi="Verdana"/>
        </w:rPr>
        <w:t>AP13: early flowering Gulf</w:t>
      </w:r>
    </w:p>
    <w:p w14:paraId="65867707" w14:textId="77777777" w:rsidR="00247A73" w:rsidRDefault="00247A73" w:rsidP="00247A73">
      <w:pPr>
        <w:pStyle w:val="CommentText"/>
        <w:rPr>
          <w:rFonts w:ascii="Verdana" w:hAnsi="Verdana"/>
        </w:rPr>
      </w:pPr>
      <w:r>
        <w:rPr>
          <w:rFonts w:ascii="Verdana" w:hAnsi="Verdana"/>
        </w:rPr>
        <w:t>WBC: late flowering Gulf</w:t>
      </w:r>
    </w:p>
    <w:p w14:paraId="72914319" w14:textId="77777777" w:rsidR="00247A73" w:rsidRDefault="00247A73" w:rsidP="00247A73">
      <w:pPr>
        <w:pStyle w:val="CommentText"/>
        <w:rPr>
          <w:rFonts w:ascii="Verdana" w:hAnsi="Verdana"/>
        </w:rPr>
      </w:pPr>
    </w:p>
    <w:p w14:paraId="49C80414" w14:textId="77777777" w:rsidR="00247A73" w:rsidRDefault="00247A73" w:rsidP="00247A73">
      <w:pPr>
        <w:pStyle w:val="CommentText"/>
      </w:pPr>
      <w:r>
        <w:rPr>
          <w:rFonts w:ascii="Arial" w:hAnsi="Arial" w:cs="Arial"/>
          <w:color w:val="1D1C1D"/>
          <w:sz w:val="23"/>
          <w:szCs w:val="23"/>
          <w:shd w:val="clear" w:color="auto" w:fill="F8F8F8"/>
        </w:rPr>
        <w:t>A = AP13, B = DAK, C = WBC, D = VS16</w:t>
      </w:r>
    </w:p>
  </w:comment>
  <w:comment w:id="7" w:author="Alice MacQueen" w:date="2020-05-21T12:21:00Z" w:initials="AHM">
    <w:p w14:paraId="19513F9F" w14:textId="77777777" w:rsidR="00247A73" w:rsidRDefault="00247A73" w:rsidP="00247A73">
      <w:pPr>
        <w:pStyle w:val="CommentText"/>
      </w:pPr>
      <w:r>
        <w:rPr>
          <w:rStyle w:val="CommentReference"/>
        </w:rPr>
        <w:annotationRef/>
      </w:r>
      <w:r>
        <w:t>I’m definitely going to mess up this fourway QTL section so Li feel free to write your own section or rewrite this however you see fit/think is accurate</w:t>
      </w:r>
    </w:p>
  </w:comment>
  <w:comment w:id="8" w:author="Alice MacQueen" w:date="2020-05-21T13:25:00Z" w:initials="AHM">
    <w:p w14:paraId="27596D19" w14:textId="31CC5821" w:rsidR="00D33F3D" w:rsidRDefault="00D33F3D">
      <w:pPr>
        <w:pStyle w:val="CommentText"/>
      </w:pPr>
      <w:r>
        <w:rPr>
          <w:rStyle w:val="CommentReference"/>
        </w:rPr>
        <w:annotationRef/>
      </w:r>
      <w:r>
        <w:t>I’ve run the analysis to find the frequencies of these alleles in each genetic subpopulation. Now I just need to pull out these SNPs specifically and find their distributions across populations/locations of origin so we can talk about it here.</w:t>
      </w:r>
    </w:p>
  </w:comment>
  <w:comment w:id="9" w:author="Alice MacQueen" w:date="2020-05-21T12:03:00Z" w:initials="AHM">
    <w:p w14:paraId="66A9B572" w14:textId="77777777" w:rsidR="00A2334A" w:rsidRDefault="00A2334A" w:rsidP="00A2334A">
      <w:pPr>
        <w:pStyle w:val="CommentText"/>
      </w:pPr>
      <w:r>
        <w:rPr>
          <w:rStyle w:val="CommentReference"/>
        </w:rPr>
        <w:annotationRef/>
      </w:r>
      <w:r>
        <w:t>Maybe color individual plant id’s by latitude of origin  on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C872AB" w15:done="0"/>
  <w15:commentEx w15:paraId="2843803C" w15:done="0"/>
  <w15:commentEx w15:paraId="6E1DCFDE" w15:done="0"/>
  <w15:commentEx w15:paraId="224B8969" w15:done="0"/>
  <w15:commentEx w15:paraId="73213749" w15:done="0"/>
  <w15:commentEx w15:paraId="49C80414" w15:paraIdParent="73213749" w15:done="0"/>
  <w15:commentEx w15:paraId="19513F9F" w15:paraIdParent="73213749"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0DBBC" w16cex:dateUtc="2020-06-02T19:07:00Z"/>
  <w16cex:commentExtensible w16cex:durableId="227A2EE2" w16cex:dateUtc="2020-05-28T17:36:00Z"/>
  <w16cex:commentExtensible w16cex:durableId="2278B3E3" w16cex:dateUtc="2020-05-27T14:39:00Z"/>
  <w16cex:commentExtensible w16cex:durableId="227102A0" w16cex:dateUtc="2020-05-21T18:37: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C872AB" w16cid:durableId="2280DBBC"/>
  <w16cid:commentId w16cid:paraId="2843803C" w16cid:durableId="227A2EE2"/>
  <w16cid:commentId w16cid:paraId="6E1DCFDE" w16cid:durableId="2278B3E3"/>
  <w16cid:commentId w16cid:paraId="224B8969" w16cid:durableId="227102A0"/>
  <w16cid:commentId w16cid:paraId="73213749" w16cid:durableId="2270EF03"/>
  <w16cid:commentId w16cid:paraId="49C80414" w16cid:durableId="2270F0AC"/>
  <w16cid:commentId w16cid:paraId="19513F9F"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003FE" w14:textId="77777777" w:rsidR="009219A5" w:rsidRDefault="009219A5" w:rsidP="007B55E9">
      <w:pPr>
        <w:spacing w:after="0" w:line="240" w:lineRule="auto"/>
      </w:pPr>
      <w:r>
        <w:separator/>
      </w:r>
    </w:p>
  </w:endnote>
  <w:endnote w:type="continuationSeparator" w:id="0">
    <w:p w14:paraId="30FC4A1C" w14:textId="77777777" w:rsidR="009219A5" w:rsidRDefault="009219A5"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B1660" w14:textId="77777777" w:rsidR="009219A5" w:rsidRDefault="009219A5" w:rsidP="007B55E9">
      <w:pPr>
        <w:spacing w:after="0" w:line="240" w:lineRule="auto"/>
      </w:pPr>
      <w:r>
        <w:separator/>
      </w:r>
    </w:p>
  </w:footnote>
  <w:footnote w:type="continuationSeparator" w:id="0">
    <w:p w14:paraId="301CF0B0" w14:textId="77777777" w:rsidR="009219A5" w:rsidRDefault="009219A5"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A4FC8"/>
    <w:rsid w:val="000A5C17"/>
    <w:rsid w:val="000B43C1"/>
    <w:rsid w:val="001475B5"/>
    <w:rsid w:val="001A454F"/>
    <w:rsid w:val="001F188C"/>
    <w:rsid w:val="001F591D"/>
    <w:rsid w:val="00205939"/>
    <w:rsid w:val="002059D6"/>
    <w:rsid w:val="00247A73"/>
    <w:rsid w:val="002621DA"/>
    <w:rsid w:val="00286B13"/>
    <w:rsid w:val="002A0403"/>
    <w:rsid w:val="002B35A4"/>
    <w:rsid w:val="002C2BA5"/>
    <w:rsid w:val="00313DBE"/>
    <w:rsid w:val="00335591"/>
    <w:rsid w:val="00351571"/>
    <w:rsid w:val="00374233"/>
    <w:rsid w:val="00406FA1"/>
    <w:rsid w:val="004626A2"/>
    <w:rsid w:val="00483BCF"/>
    <w:rsid w:val="00487648"/>
    <w:rsid w:val="004C5D9D"/>
    <w:rsid w:val="004E7835"/>
    <w:rsid w:val="00543C77"/>
    <w:rsid w:val="0056359B"/>
    <w:rsid w:val="005D4CBB"/>
    <w:rsid w:val="0061553C"/>
    <w:rsid w:val="00654CFA"/>
    <w:rsid w:val="006729EB"/>
    <w:rsid w:val="006E16D6"/>
    <w:rsid w:val="006E389A"/>
    <w:rsid w:val="007033E8"/>
    <w:rsid w:val="00723A28"/>
    <w:rsid w:val="00730A2A"/>
    <w:rsid w:val="00741E58"/>
    <w:rsid w:val="0074757D"/>
    <w:rsid w:val="007A2678"/>
    <w:rsid w:val="007B55E9"/>
    <w:rsid w:val="007D18ED"/>
    <w:rsid w:val="00855134"/>
    <w:rsid w:val="00866E58"/>
    <w:rsid w:val="00872127"/>
    <w:rsid w:val="008869BD"/>
    <w:rsid w:val="008E2A5C"/>
    <w:rsid w:val="00905975"/>
    <w:rsid w:val="009219A5"/>
    <w:rsid w:val="00950031"/>
    <w:rsid w:val="0095061C"/>
    <w:rsid w:val="009E0622"/>
    <w:rsid w:val="009F1E92"/>
    <w:rsid w:val="00A2334A"/>
    <w:rsid w:val="00A44561"/>
    <w:rsid w:val="00A70A2A"/>
    <w:rsid w:val="00A86B1F"/>
    <w:rsid w:val="00A94451"/>
    <w:rsid w:val="00AA0FD7"/>
    <w:rsid w:val="00AA114E"/>
    <w:rsid w:val="00AC59C4"/>
    <w:rsid w:val="00AE5D08"/>
    <w:rsid w:val="00B2786C"/>
    <w:rsid w:val="00B71AB0"/>
    <w:rsid w:val="00BF7FD8"/>
    <w:rsid w:val="00C1388E"/>
    <w:rsid w:val="00C30D0C"/>
    <w:rsid w:val="00CB3AE3"/>
    <w:rsid w:val="00D11638"/>
    <w:rsid w:val="00D33F3D"/>
    <w:rsid w:val="00DC1F5D"/>
    <w:rsid w:val="00DE2354"/>
    <w:rsid w:val="00E35235"/>
    <w:rsid w:val="00E466BF"/>
    <w:rsid w:val="00E82C32"/>
    <w:rsid w:val="00E92AC5"/>
    <w:rsid w:val="00E9448A"/>
    <w:rsid w:val="00F16304"/>
    <w:rsid w:val="00F40EC9"/>
    <w:rsid w:val="00F4170F"/>
    <w:rsid w:val="00F7771E"/>
    <w:rsid w:val="00FD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10</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36</cp:revision>
  <dcterms:created xsi:type="dcterms:W3CDTF">2020-05-05T15:30:00Z</dcterms:created>
  <dcterms:modified xsi:type="dcterms:W3CDTF">2020-06-02T19:17:00Z</dcterms:modified>
</cp:coreProperties>
</file>