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png" ContentType="image/png"/>
  <Override PartName="/word/media/image3.png" ContentType="image/png"/>
  <Override PartName="/word/media/image4.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sz w:val="20"/>
        </w:rPr>
      </w:pPr>
      <w:r>
        <w:rPr/>
        <w:drawing>
          <wp:inline distT="0" distB="0" distL="0" distR="0">
            <wp:extent cx="3581400" cy="170942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581400" cy="1709420"/>
                    </a:xfrm>
                    <a:prstGeom prst="rect">
                      <a:avLst/>
                    </a:prstGeom>
                  </pic:spPr>
                </pic:pic>
              </a:graphicData>
            </a:graphic>
          </wp:inline>
        </w:drawing>
      </w:r>
    </w:p>
    <w:p>
      <w:pPr>
        <w:pStyle w:val="Normal"/>
        <w:rPr>
          <w:rFonts w:ascii="Arial" w:hAnsi="Arial" w:cs="Arial"/>
          <w:sz w:val="20"/>
        </w:rPr>
      </w:pPr>
      <w:r>
        <w:rPr>
          <w:rFonts w:cs="Arial" w:ascii="Arial" w:hAnsi="Arial"/>
          <w:sz w:val="20"/>
        </w:rPr>
      </w:r>
    </w:p>
    <w:p>
      <w:pPr>
        <w:pStyle w:val="Normal"/>
        <w:rPr>
          <w:rFonts w:ascii="Arial" w:hAnsi="Arial" w:cs="Arial"/>
          <w:sz w:val="20"/>
        </w:rPr>
      </w:pPr>
      <w:r>
        <w:rPr>
          <w:rFonts w:cs="Arial" w:ascii="Arial" w:hAnsi="Arial"/>
          <w:sz w:val="20"/>
        </w:rPr>
      </w:r>
    </w:p>
    <w:p>
      <w:pPr>
        <w:pStyle w:val="Normal"/>
        <w:rPr>
          <w:rFonts w:ascii="Arial" w:hAnsi="Arial" w:cs="Arial"/>
          <w:sz w:val="20"/>
        </w:rPr>
      </w:pPr>
      <w:r>
        <w:rPr>
          <w:rFonts w:cs="Arial" w:ascii="Arial" w:hAnsi="Arial"/>
          <w:sz w:val="20"/>
        </w:rPr>
      </w:r>
    </w:p>
    <w:p>
      <w:pPr>
        <w:pStyle w:val="Normal"/>
        <w:rPr>
          <w:rFonts w:ascii="Arial" w:hAnsi="Arial" w:cs="Arial"/>
          <w:sz w:val="20"/>
        </w:rPr>
      </w:pPr>
      <w:r>
        <w:rPr>
          <w:rFonts w:cs="Arial" w:ascii="Arial" w:hAnsi="Arial"/>
          <w:sz w:val="20"/>
        </w:rPr>
      </w:r>
    </w:p>
    <w:p>
      <w:pPr>
        <w:pStyle w:val="Normal"/>
        <w:rPr>
          <w:rFonts w:ascii="Arial" w:hAnsi="Arial" w:cs="Arial"/>
          <w:sz w:val="20"/>
        </w:rPr>
      </w:pPr>
      <w:r>
        <w:rPr>
          <w:rFonts w:cs="Arial" w:ascii="Arial" w:hAnsi="Arial"/>
          <w:sz w:val="20"/>
        </w:rPr>
      </w:r>
    </w:p>
    <w:p>
      <w:pPr>
        <w:pStyle w:val="Normal"/>
        <w:rPr>
          <w:rFonts w:ascii="Arial" w:hAnsi="Arial" w:cs="Arial"/>
          <w:b/>
          <w:b/>
          <w:sz w:val="28"/>
          <w:szCs w:val="28"/>
        </w:rPr>
      </w:pPr>
      <w:r>
        <w:rPr>
          <w:rFonts w:cs="Arial" w:ascii="Arial" w:hAnsi="Arial"/>
          <w:b/>
          <w:sz w:val="28"/>
          <w:szCs w:val="28"/>
        </w:rPr>
        <w:t>Supplementary Information for</w:t>
      </w:r>
    </w:p>
    <w:p>
      <w:pPr>
        <w:pStyle w:val="Normal"/>
        <w:rPr>
          <w:rFonts w:ascii="Arial" w:hAnsi="Arial" w:cs="Arial"/>
          <w:szCs w:val="24"/>
        </w:rPr>
      </w:pPr>
      <w:r>
        <w:rPr>
          <w:rFonts w:cs="Arial" w:ascii="Arial" w:hAnsi="Arial"/>
          <w:sz w:val="28"/>
          <w:szCs w:val="24"/>
        </w:rPr>
        <w:t xml:space="preserve">Mapping of </w:t>
      </w:r>
      <w:r>
        <w:rPr>
          <w:rFonts w:cs="Arial" w:ascii="Arial" w:hAnsi="Arial"/>
          <w:sz w:val="28"/>
          <w:szCs w:val="24"/>
        </w:rPr>
        <w:t>genotype-by-environment interactions</w:t>
      </w:r>
      <w:r>
        <w:rPr>
          <w:rFonts w:cs="Arial" w:ascii="Arial" w:hAnsi="Arial"/>
          <w:sz w:val="28"/>
          <w:szCs w:val="24"/>
        </w:rPr>
        <w:t xml:space="preserve"> in phenology </w:t>
      </w:r>
      <w:r>
        <w:rPr>
          <w:rFonts w:cs="Arial" w:ascii="Arial" w:hAnsi="Arial"/>
          <w:sz w:val="28"/>
          <w:szCs w:val="24"/>
        </w:rPr>
        <w:t xml:space="preserve">identifies </w:t>
      </w:r>
      <w:r>
        <w:rPr>
          <w:rFonts w:cs="Arial" w:ascii="Arial" w:hAnsi="Arial"/>
          <w:sz w:val="28"/>
          <w:szCs w:val="24"/>
        </w:rPr>
        <w:t>two cues</w:t>
      </w:r>
      <w:r>
        <w:rPr>
          <w:rFonts w:cs="Arial" w:ascii="Arial" w:hAnsi="Arial"/>
          <w:sz w:val="28"/>
          <w:szCs w:val="24"/>
        </w:rPr>
        <w:t xml:space="preserve"> for flowering in switchgrass (</w:t>
      </w:r>
      <w:r>
        <w:rPr>
          <w:rFonts w:cs="Arial" w:ascii="Arial" w:hAnsi="Arial"/>
          <w:i/>
          <w:iCs/>
          <w:sz w:val="28"/>
          <w:szCs w:val="24"/>
        </w:rPr>
        <w:t>Panicum virgatum</w:t>
      </w:r>
      <w:r>
        <w:rPr>
          <w:rFonts w:cs="Arial" w:ascii="Arial" w:hAnsi="Arial"/>
          <w:sz w:val="28"/>
          <w:szCs w:val="24"/>
        </w:rPr>
        <w:t>)</w:t>
      </w:r>
    </w:p>
    <w:p>
      <w:pPr>
        <w:pStyle w:val="Normal"/>
        <w:rPr>
          <w:rFonts w:ascii="Arial" w:hAnsi="Arial" w:cs="Arial"/>
          <w:sz w:val="20"/>
        </w:rPr>
      </w:pPr>
      <w:r>
        <w:rPr>
          <w:rFonts w:cs="Arial" w:ascii="Arial" w:hAnsi="Arial"/>
          <w:sz w:val="20"/>
        </w:rPr>
      </w:r>
    </w:p>
    <w:p>
      <w:pPr>
        <w:pStyle w:val="Normal"/>
        <w:rPr>
          <w:rFonts w:ascii="Arial" w:hAnsi="Arial" w:cs="Arial"/>
          <w:sz w:val="20"/>
        </w:rPr>
      </w:pPr>
      <w:r>
        <w:rPr>
          <w:rFonts w:cs="Arial" w:ascii="Arial" w:hAnsi="Arial"/>
          <w:sz w:val="20"/>
        </w:rPr>
      </w:r>
    </w:p>
    <w:p>
      <w:pPr>
        <w:pStyle w:val="Normal"/>
        <w:rPr>
          <w:rFonts w:ascii="Arial" w:hAnsi="Arial" w:cs="Arial"/>
          <w:sz w:val="20"/>
        </w:rPr>
      </w:pPr>
      <w:r>
        <w:rPr>
          <w:rFonts w:cs="Arial" w:ascii="Arial" w:hAnsi="Arial"/>
          <w:sz w:val="20"/>
          <w:szCs w:val="20"/>
        </w:rPr>
        <w:t>Alice H. MacQueen*</w:t>
      </w:r>
      <w:r>
        <w:rPr>
          <w:rFonts w:cs="Arial" w:ascii="Arial" w:hAnsi="Arial"/>
          <w:sz w:val="20"/>
          <w:szCs w:val="20"/>
        </w:rPr>
        <w:t>^</w:t>
      </w:r>
      <w:r>
        <w:rPr>
          <w:rFonts w:cs="Arial" w:ascii="Arial" w:hAnsi="Arial"/>
          <w:sz w:val="20"/>
          <w:szCs w:val="20"/>
          <w:vertAlign w:val="superscript"/>
        </w:rPr>
        <w:t>1</w:t>
      </w:r>
      <w:r>
        <w:rPr>
          <w:rFonts w:cs="Arial" w:ascii="Arial" w:hAnsi="Arial"/>
          <w:sz w:val="20"/>
          <w:szCs w:val="20"/>
        </w:rPr>
        <w:t>, Li Zhang*</w:t>
      </w:r>
      <w:r>
        <w:rPr>
          <w:rFonts w:cs="Arial" w:ascii="Arial" w:hAnsi="Arial"/>
          <w:sz w:val="20"/>
          <w:szCs w:val="20"/>
          <w:vertAlign w:val="superscript"/>
        </w:rPr>
        <w:t>1</w:t>
      </w:r>
      <w:r>
        <w:rPr>
          <w:rFonts w:cs="Arial" w:ascii="Arial" w:hAnsi="Arial"/>
          <w:sz w:val="20"/>
          <w:szCs w:val="20"/>
        </w:rPr>
        <w:t>, Jason Bonnette</w:t>
      </w:r>
      <w:r>
        <w:rPr>
          <w:rFonts w:cs="Arial" w:ascii="Arial" w:hAnsi="Arial"/>
          <w:sz w:val="20"/>
          <w:szCs w:val="20"/>
          <w:vertAlign w:val="superscript"/>
        </w:rPr>
        <w:t xml:space="preserve">1 </w:t>
      </w:r>
      <w:r>
        <w:rPr>
          <w:rFonts w:cs="Arial" w:ascii="Arial" w:hAnsi="Arial"/>
          <w:sz w:val="20"/>
          <w:szCs w:val="20"/>
        </w:rPr>
        <w:t xml:space="preserve">, Arvid </w:t>
      </w:r>
      <w:r>
        <w:rPr>
          <w:rFonts w:cs="Arial" w:ascii="Arial" w:hAnsi="Arial"/>
          <w:sz w:val="20"/>
          <w:szCs w:val="20"/>
        </w:rPr>
        <w:t xml:space="preserve">R. </w:t>
      </w:r>
      <w:r>
        <w:rPr>
          <w:rFonts w:cs="Arial" w:ascii="Arial" w:hAnsi="Arial"/>
          <w:sz w:val="20"/>
          <w:szCs w:val="20"/>
        </w:rPr>
        <w:t>Boe</w:t>
      </w:r>
      <w:r>
        <w:rPr>
          <w:rFonts w:cs="Arial" w:ascii="Arial" w:hAnsi="Arial"/>
          <w:sz w:val="20"/>
          <w:szCs w:val="20"/>
          <w:vertAlign w:val="superscript"/>
        </w:rPr>
        <w:t>2</w:t>
      </w:r>
      <w:r>
        <w:rPr>
          <w:rFonts w:cs="Arial" w:ascii="Arial" w:hAnsi="Arial"/>
          <w:sz w:val="20"/>
          <w:szCs w:val="20"/>
        </w:rPr>
        <w:t xml:space="preserve">, Philip </w:t>
      </w:r>
      <w:r>
        <w:rPr>
          <w:rFonts w:cs="Arial" w:ascii="Arial" w:hAnsi="Arial"/>
          <w:sz w:val="20"/>
          <w:szCs w:val="20"/>
        </w:rPr>
        <w:t xml:space="preserve">A. </w:t>
      </w:r>
      <w:r>
        <w:rPr>
          <w:rFonts w:cs="Arial" w:ascii="Arial" w:hAnsi="Arial"/>
          <w:sz w:val="20"/>
          <w:szCs w:val="20"/>
        </w:rPr>
        <w:t>Fay</w:t>
      </w:r>
      <w:r>
        <w:rPr>
          <w:rFonts w:cs="Arial" w:ascii="Arial" w:hAnsi="Arial"/>
          <w:sz w:val="20"/>
          <w:szCs w:val="20"/>
          <w:vertAlign w:val="superscript"/>
        </w:rPr>
        <w:t>3</w:t>
      </w:r>
      <w:r>
        <w:rPr>
          <w:rFonts w:cs="Arial" w:ascii="Arial" w:hAnsi="Arial"/>
          <w:sz w:val="20"/>
          <w:szCs w:val="20"/>
        </w:rPr>
        <w:t xml:space="preserve">, Felix </w:t>
      </w:r>
      <w:r>
        <w:rPr>
          <w:rFonts w:cs="Arial" w:ascii="Arial" w:hAnsi="Arial"/>
          <w:sz w:val="20"/>
          <w:szCs w:val="20"/>
        </w:rPr>
        <w:t xml:space="preserve">B. </w:t>
      </w:r>
      <w:r>
        <w:rPr>
          <w:rFonts w:cs="Arial" w:ascii="Arial" w:hAnsi="Arial"/>
          <w:sz w:val="20"/>
          <w:szCs w:val="20"/>
        </w:rPr>
        <w:t>Fritschi</w:t>
      </w:r>
      <w:r>
        <w:rPr>
          <w:rFonts w:cs="Arial" w:ascii="Arial" w:hAnsi="Arial"/>
          <w:sz w:val="20"/>
          <w:szCs w:val="20"/>
          <w:vertAlign w:val="superscript"/>
        </w:rPr>
        <w:t>4</w:t>
      </w:r>
      <w:r>
        <w:rPr>
          <w:rFonts w:cs="Arial" w:ascii="Arial" w:hAnsi="Arial"/>
          <w:sz w:val="20"/>
          <w:szCs w:val="20"/>
        </w:rPr>
        <w:t>, David B. Lowry</w:t>
      </w:r>
      <w:r>
        <w:rPr>
          <w:rFonts w:cs="Arial" w:ascii="Arial" w:hAnsi="Arial"/>
          <w:sz w:val="20"/>
          <w:szCs w:val="20"/>
          <w:vertAlign w:val="superscript"/>
        </w:rPr>
        <w:t>5</w:t>
      </w:r>
      <w:r>
        <w:rPr>
          <w:rFonts w:cs="Arial" w:ascii="Arial" w:hAnsi="Arial"/>
          <w:sz w:val="20"/>
          <w:szCs w:val="20"/>
        </w:rPr>
        <w:t>, Rob</w:t>
      </w:r>
      <w:r>
        <w:rPr>
          <w:rFonts w:cs="Arial" w:ascii="Arial" w:hAnsi="Arial"/>
          <w:sz w:val="20"/>
          <w:szCs w:val="20"/>
        </w:rPr>
        <w:t xml:space="preserve">ert B. </w:t>
      </w:r>
      <w:r>
        <w:rPr>
          <w:rFonts w:cs="Arial" w:ascii="Arial" w:hAnsi="Arial"/>
          <w:sz w:val="20"/>
          <w:szCs w:val="20"/>
        </w:rPr>
        <w:t>Mitchell</w:t>
      </w:r>
      <w:r>
        <w:rPr>
          <w:rFonts w:cs="Arial" w:ascii="Arial" w:hAnsi="Arial"/>
          <w:sz w:val="20"/>
          <w:szCs w:val="20"/>
          <w:vertAlign w:val="superscript"/>
        </w:rPr>
        <w:t>6</w:t>
      </w:r>
      <w:r>
        <w:rPr>
          <w:rFonts w:cs="Arial" w:ascii="Arial" w:hAnsi="Arial"/>
          <w:sz w:val="20"/>
          <w:szCs w:val="20"/>
        </w:rPr>
        <w:t xml:space="preserve">, Francis </w:t>
      </w:r>
      <w:r>
        <w:rPr>
          <w:rFonts w:cs="Arial" w:ascii="Arial" w:hAnsi="Arial"/>
          <w:sz w:val="20"/>
          <w:szCs w:val="20"/>
        </w:rPr>
        <w:t xml:space="preserve">M. </w:t>
      </w:r>
      <w:r>
        <w:rPr>
          <w:rFonts w:cs="Arial" w:ascii="Arial" w:hAnsi="Arial"/>
          <w:sz w:val="20"/>
          <w:szCs w:val="20"/>
        </w:rPr>
        <w:t xml:space="preserve">Rouquette </w:t>
      </w:r>
      <w:r>
        <w:rPr>
          <w:rFonts w:cs="Arial" w:ascii="Arial" w:hAnsi="Arial"/>
          <w:sz w:val="20"/>
          <w:szCs w:val="20"/>
        </w:rPr>
        <w:t>Jr</w:t>
      </w:r>
      <w:r>
        <w:rPr>
          <w:rFonts w:cs="Arial" w:ascii="Arial" w:hAnsi="Arial"/>
          <w:sz w:val="20"/>
          <w:szCs w:val="20"/>
          <w:vertAlign w:val="superscript"/>
        </w:rPr>
        <w:t>7</w:t>
      </w:r>
      <w:r>
        <w:rPr>
          <w:rFonts w:cs="Arial" w:ascii="Arial" w:hAnsi="Arial"/>
          <w:sz w:val="20"/>
          <w:szCs w:val="20"/>
        </w:rPr>
        <w:t>, Yanqi Wu</w:t>
      </w:r>
      <w:r>
        <w:rPr>
          <w:rFonts w:cs="Arial" w:ascii="Arial" w:hAnsi="Arial"/>
          <w:sz w:val="20"/>
          <w:szCs w:val="20"/>
          <w:vertAlign w:val="superscript"/>
        </w:rPr>
        <w:t>8</w:t>
      </w:r>
      <w:r>
        <w:rPr>
          <w:rFonts w:cs="Arial" w:ascii="Arial" w:hAnsi="Arial"/>
          <w:sz w:val="20"/>
          <w:szCs w:val="20"/>
        </w:rPr>
        <w:t xml:space="preserve">, Thomas </w:t>
      </w:r>
      <w:r>
        <w:rPr>
          <w:rFonts w:cs="Arial" w:ascii="Arial" w:hAnsi="Arial"/>
          <w:sz w:val="20"/>
          <w:szCs w:val="20"/>
        </w:rPr>
        <w:t>E.</w:t>
      </w:r>
      <w:r>
        <w:rPr>
          <w:rFonts w:cs="Arial" w:ascii="Arial" w:hAnsi="Arial"/>
          <w:sz w:val="20"/>
          <w:szCs w:val="20"/>
        </w:rPr>
        <w:t xml:space="preserve"> Juenger</w:t>
      </w:r>
      <w:r>
        <w:rPr>
          <w:rFonts w:cs="Arial" w:ascii="Arial" w:hAnsi="Arial"/>
          <w:sz w:val="20"/>
          <w:szCs w:val="20"/>
        </w:rPr>
        <w:t>^</w:t>
      </w:r>
      <w:r>
        <w:rPr>
          <w:rFonts w:cs="Arial" w:ascii="Arial" w:hAnsi="Arial"/>
          <w:sz w:val="20"/>
          <w:szCs w:val="20"/>
          <w:vertAlign w:val="superscript"/>
        </w:rPr>
        <w:t>1</w:t>
      </w:r>
    </w:p>
    <w:p>
      <w:pPr>
        <w:pStyle w:val="Normal"/>
        <w:rPr>
          <w:rFonts w:ascii="Arial" w:hAnsi="Arial" w:cs="Arial"/>
          <w:sz w:val="20"/>
        </w:rPr>
      </w:pPr>
      <w:r>
        <w:rPr>
          <w:rFonts w:cs="Arial" w:ascii="Arial" w:hAnsi="Arial"/>
          <w:sz w:val="20"/>
        </w:rPr>
      </w:r>
    </w:p>
    <w:p>
      <w:pPr>
        <w:pStyle w:val="Normal"/>
        <w:rPr>
          <w:rFonts w:ascii="aRial" w:hAnsi="aRial"/>
          <w:sz w:val="20"/>
          <w:szCs w:val="20"/>
        </w:rPr>
      </w:pPr>
      <w:r>
        <w:rPr>
          <w:rFonts w:cs="Arial" w:ascii="aRial" w:hAnsi="aRial"/>
          <w:b/>
          <w:bCs/>
          <w:sz w:val="20"/>
          <w:szCs w:val="20"/>
        </w:rPr>
        <w:t xml:space="preserve">Corresponding authors: </w:t>
      </w:r>
      <w:r>
        <w:rPr>
          <w:rFonts w:cs="Arial" w:ascii="aRial" w:hAnsi="aRial"/>
          <w:sz w:val="20"/>
          <w:szCs w:val="20"/>
        </w:rPr>
        <w:t>^</w:t>
      </w:r>
      <w:r>
        <w:rPr>
          <w:rFonts w:cs="Arial" w:ascii="aRial" w:hAnsi="aRial"/>
          <w:sz w:val="20"/>
          <w:szCs w:val="20"/>
        </w:rPr>
        <w:t xml:space="preserve">Alice MacQueen, Thomas </w:t>
      </w:r>
      <w:r>
        <w:rPr>
          <w:rFonts w:cs="Arial" w:ascii="aRial" w:hAnsi="aRial"/>
          <w:sz w:val="20"/>
          <w:szCs w:val="20"/>
        </w:rPr>
        <w:t xml:space="preserve">E. </w:t>
      </w:r>
      <w:r>
        <w:rPr>
          <w:rFonts w:cs="Arial" w:ascii="aRial" w:hAnsi="aRial"/>
          <w:sz w:val="20"/>
          <w:szCs w:val="20"/>
        </w:rPr>
        <w:t>Juenger</w:t>
      </w:r>
    </w:p>
    <w:p>
      <w:pPr>
        <w:pStyle w:val="Normal"/>
        <w:rPr>
          <w:rFonts w:ascii="Arial" w:hAnsi="Arial" w:cs="Arial"/>
          <w:sz w:val="20"/>
        </w:rPr>
      </w:pPr>
      <w:bookmarkStart w:id="0" w:name="_GoBack"/>
      <w:bookmarkEnd w:id="0"/>
      <w:r>
        <w:rPr>
          <w:rFonts w:cs="Arial" w:ascii="Arial" w:hAnsi="Arial"/>
          <w:b/>
          <w:sz w:val="20"/>
          <w:szCs w:val="20"/>
        </w:rPr>
        <w:t xml:space="preserve">Email: </w:t>
      </w:r>
      <w:hyperlink r:id="rId3">
        <w:r>
          <w:rPr>
            <w:rStyle w:val="InternetLink"/>
            <w:rFonts w:cs="Arial" w:ascii="Arial" w:hAnsi="Arial"/>
            <w:sz w:val="20"/>
            <w:szCs w:val="20"/>
          </w:rPr>
          <w:t>alice.macqueen@utexas.edu</w:t>
        </w:r>
      </w:hyperlink>
      <w:r>
        <w:rPr>
          <w:rFonts w:cs="Arial" w:ascii="Arial" w:hAnsi="Arial"/>
          <w:sz w:val="20"/>
          <w:szCs w:val="20"/>
        </w:rPr>
        <w:t>; tjuenger@utexas.edu</w:t>
      </w:r>
    </w:p>
    <w:p>
      <w:pPr>
        <w:pStyle w:val="Normal"/>
        <w:rPr>
          <w:rFonts w:ascii="Arial" w:hAnsi="Arial" w:cs="Arial"/>
          <w:sz w:val="20"/>
        </w:rPr>
      </w:pPr>
      <w:r>
        <w:rPr>
          <w:rFonts w:cs="Arial" w:ascii="Arial" w:hAnsi="Arial"/>
          <w:sz w:val="20"/>
        </w:rPr>
      </w:r>
    </w:p>
    <w:p>
      <w:pPr>
        <w:pStyle w:val="Normal"/>
        <w:rPr>
          <w:rFonts w:ascii="Arial" w:hAnsi="Arial" w:cs="Arial"/>
          <w:b/>
          <w:b/>
          <w:sz w:val="20"/>
        </w:rPr>
      </w:pPr>
      <w:r>
        <w:rPr>
          <w:rFonts w:cs="Arial" w:ascii="Arial" w:hAnsi="Arial"/>
          <w:b/>
          <w:sz w:val="20"/>
        </w:rPr>
      </w:r>
    </w:p>
    <w:p>
      <w:pPr>
        <w:pStyle w:val="Normal"/>
        <w:rPr>
          <w:rFonts w:ascii="Arial" w:hAnsi="Arial" w:cs="Arial"/>
          <w:b/>
          <w:b/>
          <w:sz w:val="20"/>
        </w:rPr>
      </w:pPr>
      <w:r>
        <w:rPr>
          <w:rFonts w:cs="Arial" w:ascii="Arial" w:hAnsi="Arial"/>
          <w:b/>
          <w:sz w:val="20"/>
        </w:rPr>
        <w:t>This PDF file includes:</w:t>
      </w:r>
    </w:p>
    <w:p>
      <w:pPr>
        <w:pStyle w:val="Normal"/>
        <w:rPr>
          <w:rFonts w:ascii="Arial" w:hAnsi="Arial" w:cs="Arial"/>
          <w:sz w:val="20"/>
        </w:rPr>
      </w:pPr>
      <w:r>
        <w:rPr>
          <w:rFonts w:cs="Arial" w:ascii="Arial" w:hAnsi="Arial"/>
          <w:sz w:val="20"/>
        </w:rPr>
      </w:r>
    </w:p>
    <w:p>
      <w:pPr>
        <w:pStyle w:val="Normal"/>
        <w:ind w:left="720" w:hanging="0"/>
        <w:rPr>
          <w:rFonts w:ascii="Arial" w:hAnsi="Arial" w:cs="Arial"/>
          <w:sz w:val="20"/>
        </w:rPr>
      </w:pPr>
      <w:r>
        <w:rPr>
          <w:rFonts w:cs="Arial" w:ascii="Arial" w:hAnsi="Arial"/>
          <w:sz w:val="20"/>
        </w:rPr>
        <w:t xml:space="preserve">Supplementary text </w:t>
      </w:r>
      <w:r>
        <w:rPr>
          <w:rFonts w:cs="Arial" w:ascii="Arial" w:hAnsi="Arial"/>
          <w:sz w:val="20"/>
        </w:rPr>
        <w:t>sections S1 to S6.</w:t>
      </w:r>
    </w:p>
    <w:p>
      <w:pPr>
        <w:pStyle w:val="Normal"/>
        <w:ind w:left="720" w:hanging="0"/>
        <w:rPr>
          <w:rFonts w:ascii="Arial" w:hAnsi="Arial" w:cs="Arial"/>
          <w:sz w:val="20"/>
        </w:rPr>
      </w:pPr>
      <w:r>
        <w:rPr>
          <w:rFonts w:cs="Arial" w:ascii="Arial" w:hAnsi="Arial"/>
          <w:sz w:val="20"/>
        </w:rPr>
        <w:t>Figures S1 to S</w:t>
      </w:r>
      <w:r>
        <w:rPr>
          <w:rFonts w:cs="Arial" w:ascii="Arial" w:hAnsi="Arial"/>
          <w:sz w:val="20"/>
        </w:rPr>
        <w:t>3</w:t>
      </w:r>
    </w:p>
    <w:p>
      <w:pPr>
        <w:pStyle w:val="Normal"/>
        <w:ind w:left="720" w:hanging="0"/>
        <w:rPr>
          <w:rFonts w:ascii="Arial" w:hAnsi="Arial" w:cs="Arial"/>
          <w:sz w:val="20"/>
        </w:rPr>
      </w:pPr>
      <w:r>
        <w:rPr>
          <w:rFonts w:cs="Arial" w:ascii="Arial" w:hAnsi="Arial"/>
          <w:sz w:val="20"/>
        </w:rPr>
        <w:t xml:space="preserve">Table S1 </w:t>
      </w:r>
    </w:p>
    <w:p>
      <w:pPr>
        <w:pStyle w:val="Normal"/>
        <w:ind w:left="720" w:hanging="0"/>
        <w:rPr>
          <w:rFonts w:ascii="Arial" w:hAnsi="Arial" w:cs="Arial"/>
          <w:sz w:val="20"/>
        </w:rPr>
      </w:pPr>
      <w:r>
        <w:rPr>
          <w:rFonts w:cs="Arial" w:ascii="Arial" w:hAnsi="Arial"/>
          <w:sz w:val="20"/>
        </w:rPr>
        <w:t>Legends for Datasets S1 to S</w:t>
      </w:r>
      <w:r>
        <w:rPr>
          <w:rFonts w:cs="Arial" w:ascii="Arial" w:hAnsi="Arial"/>
          <w:sz w:val="20"/>
        </w:rPr>
        <w:t>8</w:t>
      </w:r>
    </w:p>
    <w:p>
      <w:pPr>
        <w:pStyle w:val="Normal"/>
        <w:ind w:left="720" w:hanging="0"/>
        <w:rPr>
          <w:rFonts w:ascii="Arial" w:hAnsi="Arial" w:cs="Arial"/>
          <w:sz w:val="20"/>
        </w:rPr>
      </w:pPr>
      <w:r>
        <w:rPr>
          <w:rFonts w:cs="Arial" w:ascii="Arial" w:hAnsi="Arial"/>
          <w:sz w:val="20"/>
        </w:rPr>
        <w:t xml:space="preserve">SI References </w:t>
      </w:r>
    </w:p>
    <w:p>
      <w:pPr>
        <w:pStyle w:val="Normal"/>
        <w:rPr>
          <w:rFonts w:ascii="Arial" w:hAnsi="Arial" w:cs="Arial"/>
          <w:sz w:val="20"/>
        </w:rPr>
      </w:pPr>
      <w:r>
        <w:rPr>
          <w:rFonts w:cs="Arial" w:ascii="Arial" w:hAnsi="Arial"/>
          <w:sz w:val="20"/>
        </w:rPr>
      </w:r>
    </w:p>
    <w:p>
      <w:pPr>
        <w:pStyle w:val="Normal"/>
        <w:rPr>
          <w:rFonts w:ascii="Arial" w:hAnsi="Arial" w:cs="Arial"/>
          <w:sz w:val="20"/>
        </w:rPr>
      </w:pPr>
      <w:r>
        <w:rPr>
          <w:rFonts w:cs="Arial" w:ascii="Arial" w:hAnsi="Arial"/>
          <w:b/>
          <w:sz w:val="20"/>
        </w:rPr>
        <w:t xml:space="preserve">Other supplementary materials for this manuscript include the following: </w:t>
      </w:r>
    </w:p>
    <w:p>
      <w:pPr>
        <w:pStyle w:val="Normal"/>
        <w:rPr>
          <w:rFonts w:ascii="Arial" w:hAnsi="Arial" w:cs="Arial"/>
          <w:sz w:val="20"/>
        </w:rPr>
      </w:pPr>
      <w:r>
        <w:rPr>
          <w:rFonts w:cs="Arial" w:ascii="Arial" w:hAnsi="Arial"/>
          <w:sz w:val="20"/>
        </w:rPr>
      </w:r>
    </w:p>
    <w:p>
      <w:pPr>
        <w:pStyle w:val="Normal"/>
        <w:ind w:left="720" w:hanging="0"/>
        <w:rPr>
          <w:rFonts w:ascii="Arial" w:hAnsi="Arial" w:cs="Arial"/>
          <w:sz w:val="20"/>
        </w:rPr>
      </w:pPr>
      <w:r>
        <w:rPr>
          <w:rFonts w:cs="Arial" w:ascii="Arial" w:hAnsi="Arial"/>
          <w:sz w:val="20"/>
        </w:rPr>
        <w:t>Datasets S1 to S</w:t>
      </w:r>
      <w:r>
        <w:rPr>
          <w:rFonts w:cs="Arial" w:ascii="Arial" w:hAnsi="Arial"/>
          <w:sz w:val="20"/>
        </w:rPr>
        <w:t>8</w:t>
      </w:r>
    </w:p>
    <w:p>
      <w:pPr>
        <w:pStyle w:val="Normal"/>
        <w:ind w:left="720" w:hanging="0"/>
        <w:rPr>
          <w:rFonts w:ascii="Arial" w:hAnsi="Arial" w:cs="Arial"/>
          <w:sz w:val="20"/>
        </w:rPr>
      </w:pPr>
      <w:r>
        <w:rPr>
          <w:rFonts w:cs="Arial" w:ascii="Arial" w:hAnsi="Arial"/>
          <w:sz w:val="20"/>
        </w:rPr>
      </w:r>
    </w:p>
    <w:p>
      <w:pPr>
        <w:pStyle w:val="Normal"/>
        <w:ind w:left="720" w:hanging="0"/>
        <w:rPr>
          <w:rFonts w:ascii="Arial" w:hAnsi="Arial" w:cs="Arial"/>
          <w:sz w:val="20"/>
        </w:rPr>
      </w:pPr>
      <w:r>
        <w:rPr>
          <w:rFonts w:cs="Arial" w:ascii="Arial" w:hAnsi="Arial"/>
          <w:sz w:val="20"/>
        </w:rPr>
        <w:br/>
      </w:r>
    </w:p>
    <w:p>
      <w:pPr>
        <w:pStyle w:val="SMHeading"/>
        <w:rPr>
          <w:rFonts w:ascii="Arial" w:hAnsi="Arial" w:cs="Arial"/>
          <w:sz w:val="20"/>
          <w:szCs w:val="20"/>
        </w:rPr>
      </w:pPr>
      <w:r>
        <w:rPr>
          <w:rFonts w:cs="Arial" w:ascii="Arial" w:hAnsi="Arial"/>
          <w:sz w:val="20"/>
          <w:szCs w:val="20"/>
        </w:rPr>
        <w:t>`</w:t>
      </w:r>
    </w:p>
    <w:p>
      <w:pPr>
        <w:pStyle w:val="SMHeading"/>
        <w:rPr>
          <w:rFonts w:ascii="Arial" w:hAnsi="Arial" w:cs="Arial"/>
          <w:sz w:val="20"/>
          <w:szCs w:val="20"/>
        </w:rPr>
      </w:pPr>
      <w:r>
        <w:rPr>
          <w:rFonts w:cs="Arial" w:ascii="Arial" w:hAnsi="Arial"/>
          <w:sz w:val="20"/>
          <w:szCs w:val="20"/>
        </w:rPr>
      </w:r>
    </w:p>
    <w:p>
      <w:pPr>
        <w:pStyle w:val="SMHeading"/>
        <w:rPr>
          <w:rFonts w:ascii="Arial" w:hAnsi="Arial" w:cs="Arial"/>
          <w:sz w:val="20"/>
          <w:szCs w:val="20"/>
        </w:rPr>
      </w:pPr>
      <w:r>
        <w:rPr>
          <w:rFonts w:cs="Arial" w:ascii="Arial" w:hAnsi="Arial"/>
          <w:sz w:val="20"/>
          <w:szCs w:val="20"/>
        </w:rPr>
      </w:r>
      <w:bookmarkStart w:id="1" w:name="MaterialsMethods"/>
      <w:bookmarkStart w:id="2" w:name="Tables"/>
      <w:bookmarkStart w:id="3" w:name="MaterialsMethods"/>
      <w:bookmarkStart w:id="4" w:name="Tables"/>
      <w:bookmarkEnd w:id="3"/>
      <w:bookmarkEnd w:id="4"/>
    </w:p>
    <w:p>
      <w:pPr>
        <w:pStyle w:val="SMHeading"/>
        <w:rPr>
          <w:rFonts w:ascii="Arial" w:hAnsi="Arial" w:cs="Arial"/>
          <w:sz w:val="20"/>
          <w:szCs w:val="20"/>
        </w:rPr>
      </w:pPr>
      <w:r>
        <w:rPr>
          <w:rFonts w:cs="Arial" w:ascii="Arial" w:hAnsi="Arial"/>
          <w:sz w:val="20"/>
          <w:szCs w:val="20"/>
        </w:rPr>
      </w:r>
    </w:p>
    <w:p>
      <w:pPr>
        <w:pStyle w:val="SMText"/>
        <w:ind w:hanging="0"/>
        <w:rPr>
          <w:rFonts w:ascii="Arial" w:hAnsi="Arial" w:cs="Arial"/>
          <w:sz w:val="20"/>
        </w:rPr>
      </w:pPr>
      <w:r>
        <w:rPr>
          <w:rFonts w:cs="Arial" w:ascii="Arial" w:hAnsi="Arial"/>
          <w:sz w:val="20"/>
        </w:rPr>
      </w:r>
    </w:p>
    <w:p>
      <w:pPr>
        <w:pStyle w:val="SMHeading"/>
        <w:rPr>
          <w:rFonts w:ascii="Arial" w:hAnsi="Arial" w:cs="Arial"/>
          <w:sz w:val="20"/>
          <w:szCs w:val="20"/>
        </w:rPr>
      </w:pPr>
      <w:r>
        <w:rPr>
          <w:rFonts w:cs="Arial" w:ascii="Arial" w:hAnsi="Arial"/>
          <w:sz w:val="20"/>
          <w:szCs w:val="20"/>
        </w:rPr>
        <w:t>Sup</w:t>
      </w:r>
      <w:r>
        <w:rPr>
          <w:rFonts w:cs="Arial" w:ascii="aRial" w:hAnsi="aRial"/>
          <w:sz w:val="20"/>
          <w:szCs w:val="20"/>
        </w:rPr>
        <w:t>plementary Information Text</w:t>
      </w:r>
    </w:p>
    <w:p>
      <w:pPr>
        <w:pStyle w:val="SMSubheading"/>
        <w:rPr>
          <w:rFonts w:ascii="aRial" w:hAnsi="aRial"/>
          <w:sz w:val="20"/>
          <w:szCs w:val="20"/>
        </w:rPr>
      </w:pPr>
      <w:r>
        <w:rPr>
          <w:rFonts w:cs="Arial" w:ascii="aRial" w:hAnsi="aRial"/>
          <w:b/>
          <w:bCs/>
          <w:sz w:val="20"/>
          <w:szCs w:val="20"/>
          <w:u w:val="none"/>
        </w:rPr>
        <w:t xml:space="preserve">Section S1. </w:t>
      </w:r>
      <w:r>
        <w:rPr>
          <w:rFonts w:cs="Arial" w:ascii="aRial" w:hAnsi="aRial"/>
          <w:b w:val="false"/>
          <w:bCs w:val="false"/>
          <w:i/>
          <w:iCs/>
          <w:sz w:val="20"/>
          <w:szCs w:val="20"/>
          <w:u w:val="none"/>
        </w:rPr>
        <w:t>Weather-based environmental cues for green-up and flowering date.</w:t>
      </w:r>
    </w:p>
    <w:p>
      <w:pPr>
        <w:pStyle w:val="Normal"/>
        <w:spacing w:lineRule="auto" w:line="360"/>
        <w:rPr>
          <w:rFonts w:ascii="aRial" w:hAnsi="aRial"/>
          <w:sz w:val="20"/>
          <w:szCs w:val="20"/>
        </w:rPr>
      </w:pPr>
      <w:r>
        <w:rPr>
          <w:rFonts w:ascii="aRial" w:hAnsi="aRial"/>
          <w:sz w:val="20"/>
          <w:szCs w:val="20"/>
        </w:rPr>
      </w:r>
    </w:p>
    <w:p>
      <w:pPr>
        <w:pStyle w:val="Normal"/>
        <w:spacing w:lineRule="auto" w:line="360"/>
        <w:rPr>
          <w:rFonts w:ascii="aRial" w:hAnsi="aRial"/>
          <w:i w:val="false"/>
          <w:i w:val="false"/>
          <w:iCs w:val="false"/>
          <w:sz w:val="20"/>
          <w:szCs w:val="20"/>
        </w:rPr>
      </w:pPr>
      <w:r>
        <w:rPr>
          <w:rFonts w:cs="Arial" w:ascii="aRial" w:hAnsi="aRial"/>
          <w:b w:val="false"/>
          <w:bCs w:val="false"/>
          <w:i w:val="false"/>
          <w:iCs w:val="false"/>
          <w:sz w:val="20"/>
          <w:szCs w:val="20"/>
          <w:u w:val="none"/>
        </w:rPr>
        <w:tab/>
        <w:t>We scored green-up and flowering by day of the year, then linked these dates to multiple environmental factors (Table S1). We defined flowering as functions of eight variables: ‘flowering date’ (day of the year), cumulative growing degree days (GDD) between green-up and flowering dates (‘flowering GDD’), day length on the flowering date (‘flowering daylength’), change in daylength relative to the previous day on the day of flowering (‘flowering daylength change’), and four measures of cumulative rainfall: cumulative rainfall between green-up and flowering, and in the one day, three days, and five days before flowering. C</w:t>
      </w:r>
      <w:r>
        <w:rPr>
          <w:rFonts w:cs="Arial" w:ascii="aRial" w:hAnsi="aRial"/>
          <w:b w:val="false"/>
          <w:bCs/>
          <w:i w:val="false"/>
          <w:iCs w:val="false"/>
          <w:sz w:val="20"/>
          <w:szCs w:val="20"/>
          <w:u w:val="none"/>
        </w:rPr>
        <w:t xml:space="preserve">umulative GDD was calculated as GDD = </w:t>
      </w:r>
      <w:r>
        <w:rPr>
          <w:rFonts w:cs="Arial" w:ascii="aRial" w:hAnsi="aRial"/>
          <w:b w:val="false"/>
          <w:bCs/>
          <w:i w:val="false"/>
          <w:iCs w:val="false"/>
          <w:sz w:val="20"/>
          <w:szCs w:val="20"/>
          <w:u w:val="none"/>
        </w:rPr>
      </w:r>
      <m:oMath xmlns:m="http://schemas.openxmlformats.org/officeDocument/2006/math">
        <m:nary>
          <m:naryPr>
            <m:chr m:val="∑"/>
          </m:naryPr>
          <m:sub>
            <m:r>
              <w:rPr>
                <w:rFonts w:ascii="Cambria Math" w:hAnsi="Cambria Math"/>
              </w:rPr>
              <m:t xml:space="preserve">GR</m:t>
            </m:r>
          </m:sub>
          <m:sup>
            <m:r>
              <w:rPr>
                <w:rFonts w:ascii="Cambria Math" w:hAnsi="Cambria Math"/>
              </w:rPr>
              <m:t xml:space="preserve">FL</m:t>
            </m:r>
          </m:sup>
          <m:e>
            <m:r>
              <w:rPr>
                <w:rFonts w:ascii="Cambria Math" w:hAnsi="Cambria Math"/>
              </w:rPr>
              <m:t xml:space="preserve">max</m:t>
            </m:r>
            <m:d>
              <m:dPr>
                <m:begChr m:val="("/>
                <m:endChr m:val=")"/>
              </m:dPr>
              <m:e>
                <m:sSub>
                  <m:e>
                    <m:r>
                      <w:rPr>
                        <w:rFonts w:ascii="Cambria Math" w:hAnsi="Cambria Math"/>
                      </w:rPr>
                      <m:t xml:space="preserve">T</m:t>
                    </m:r>
                  </m:e>
                  <m:sub>
                    <m:r>
                      <w:rPr>
                        <w:rFonts w:ascii="Cambria Math" w:hAnsi="Cambria Math"/>
                      </w:rPr>
                      <m:t xml:space="preserve">mean</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base</m:t>
                    </m:r>
                  </m:sub>
                </m:sSub>
                <m:r>
                  <w:rPr>
                    <w:rFonts w:ascii="Cambria Math" w:hAnsi="Cambria Math"/>
                  </w:rPr>
                  <m:t xml:space="preserve">,</m:t>
                </m:r>
                <m:r>
                  <w:rPr>
                    <w:rFonts w:ascii="Cambria Math" w:hAnsi="Cambria Math"/>
                  </w:rPr>
                  <m:t xml:space="preserve">0</m:t>
                </m:r>
              </m:e>
            </m:d>
          </m:e>
        </m:nary>
      </m:oMath>
      <w:r>
        <w:rPr>
          <w:rFonts w:cs="Arial" w:ascii="aRial" w:hAnsi="aRial"/>
          <w:b w:val="false"/>
          <w:bCs/>
          <w:i w:val="false"/>
          <w:iCs w:val="false"/>
          <w:sz w:val="20"/>
          <w:szCs w:val="20"/>
          <w:u w:val="none"/>
        </w:rPr>
        <w:t>, where T</w:t>
      </w:r>
      <w:r>
        <w:rPr>
          <w:rFonts w:cs="Arial" w:ascii="aRial" w:hAnsi="aRial"/>
          <w:b w:val="false"/>
          <w:bCs/>
          <w:i w:val="false"/>
          <w:iCs w:val="false"/>
          <w:sz w:val="20"/>
          <w:szCs w:val="20"/>
          <w:u w:val="none"/>
          <w:vertAlign w:val="subscript"/>
        </w:rPr>
        <w:t>mean</w:t>
      </w:r>
      <w:r>
        <w:rPr>
          <w:rFonts w:cs="Arial" w:ascii="aRial" w:hAnsi="aRial"/>
          <w:b w:val="false"/>
          <w:bCs/>
          <w:i w:val="false"/>
          <w:iCs w:val="false"/>
          <w:sz w:val="20"/>
          <w:szCs w:val="20"/>
          <w:u w:val="none"/>
        </w:rPr>
        <w:t xml:space="preserve"> is the daily average temperature, defined as (T</w:t>
      </w:r>
      <w:r>
        <w:rPr>
          <w:rFonts w:cs="Arial" w:ascii="aRial" w:hAnsi="aRial"/>
          <w:b w:val="false"/>
          <w:bCs/>
          <w:i w:val="false"/>
          <w:iCs w:val="false"/>
          <w:sz w:val="20"/>
          <w:szCs w:val="20"/>
          <w:u w:val="none"/>
          <w:vertAlign w:val="subscript"/>
        </w:rPr>
        <w:t>max</w:t>
      </w:r>
      <w:r>
        <w:rPr>
          <w:rFonts w:cs="Arial" w:ascii="aRial" w:hAnsi="aRial"/>
          <w:b w:val="false"/>
          <w:bCs/>
          <w:i w:val="false"/>
          <w:iCs w:val="false"/>
          <w:sz w:val="20"/>
          <w:szCs w:val="20"/>
          <w:u w:val="none"/>
        </w:rPr>
        <w:t>+T</w:t>
      </w:r>
      <w:r>
        <w:rPr>
          <w:rFonts w:cs="Arial" w:ascii="aRial" w:hAnsi="aRial"/>
          <w:b w:val="false"/>
          <w:bCs/>
          <w:i w:val="false"/>
          <w:iCs w:val="false"/>
          <w:sz w:val="20"/>
          <w:szCs w:val="20"/>
          <w:u w:val="none"/>
          <w:vertAlign w:val="subscript"/>
        </w:rPr>
        <w:t>min</w:t>
      </w:r>
      <w:r>
        <w:rPr>
          <w:rFonts w:cs="Arial" w:ascii="aRial" w:hAnsi="aRial"/>
          <w:b w:val="false"/>
          <w:bCs/>
          <w:i w:val="false"/>
          <w:iCs w:val="false"/>
          <w:sz w:val="20"/>
          <w:szCs w:val="20"/>
          <w:u w:val="none"/>
        </w:rPr>
        <w:t>)/2, T</w:t>
      </w:r>
      <w:r>
        <w:rPr>
          <w:rFonts w:cs="Arial" w:ascii="aRial" w:hAnsi="aRial"/>
          <w:b w:val="false"/>
          <w:bCs/>
          <w:i w:val="false"/>
          <w:iCs w:val="false"/>
          <w:sz w:val="20"/>
          <w:szCs w:val="20"/>
          <w:u w:val="none"/>
          <w:vertAlign w:val="subscript"/>
        </w:rPr>
        <w:t>base</w:t>
      </w:r>
      <w:r>
        <w:rPr>
          <w:rFonts w:cs="Arial" w:ascii="aRial" w:hAnsi="aRial"/>
          <w:b w:val="false"/>
          <w:bCs/>
          <w:i w:val="false"/>
          <w:iCs w:val="false"/>
          <w:sz w:val="20"/>
          <w:szCs w:val="20"/>
          <w:u w:val="none"/>
        </w:rPr>
        <w:t xml:space="preserve"> is the base temperature </w:t>
      </w:r>
      <w:r>
        <w:rPr>
          <w:rFonts w:cs="Arial" w:ascii="aRial" w:hAnsi="aRial"/>
          <w:b w:val="false"/>
          <w:bCs w:val="false"/>
          <w:i w:val="false"/>
          <w:iCs w:val="false"/>
          <w:sz w:val="20"/>
          <w:szCs w:val="20"/>
          <w:u w:val="none"/>
        </w:rPr>
        <w:t xml:space="preserve">of 12 </w:t>
      </w:r>
      <w:r>
        <w:rPr>
          <w:rFonts w:cs="Calibri" w:ascii="aRial" w:hAnsi="aRial"/>
          <w:b w:val="false"/>
          <w:bCs w:val="false"/>
          <w:i w:val="false"/>
          <w:iCs w:val="false"/>
          <w:sz w:val="20"/>
          <w:szCs w:val="20"/>
          <w:u w:val="none"/>
        </w:rPr>
        <w:t>°</w:t>
      </w:r>
      <w:r>
        <w:rPr>
          <w:rFonts w:cs="Arial" w:ascii="aRial" w:hAnsi="aRial"/>
          <w:b w:val="false"/>
          <w:bCs w:val="false"/>
          <w:i w:val="false"/>
          <w:iCs w:val="false"/>
          <w:sz w:val="20"/>
          <w:szCs w:val="20"/>
          <w:u w:val="none"/>
        </w:rPr>
        <w:t>C for switchgrass, T</w:t>
      </w:r>
      <w:r>
        <w:rPr>
          <w:rFonts w:cs="Arial" w:ascii="aRial" w:hAnsi="aRial"/>
          <w:b w:val="false"/>
          <w:bCs w:val="false"/>
          <w:i w:val="false"/>
          <w:iCs w:val="false"/>
          <w:sz w:val="20"/>
          <w:szCs w:val="20"/>
          <w:u w:val="none"/>
          <w:vertAlign w:val="subscript"/>
        </w:rPr>
        <w:t>max</w:t>
      </w:r>
      <w:r>
        <w:rPr>
          <w:rFonts w:cs="Arial" w:ascii="aRial" w:hAnsi="aRial"/>
          <w:b w:val="false"/>
          <w:bCs w:val="false"/>
          <w:i w:val="false"/>
          <w:iCs w:val="false"/>
          <w:sz w:val="20"/>
          <w:szCs w:val="20"/>
          <w:u w:val="none"/>
        </w:rPr>
        <w:t xml:space="preserve"> is the maximum daily temperature, T</w:t>
      </w:r>
      <w:r>
        <w:rPr>
          <w:rFonts w:cs="Arial" w:ascii="aRial" w:hAnsi="aRial"/>
          <w:b w:val="false"/>
          <w:bCs w:val="false"/>
          <w:i w:val="false"/>
          <w:iCs w:val="false"/>
          <w:sz w:val="20"/>
          <w:szCs w:val="20"/>
          <w:u w:val="none"/>
          <w:vertAlign w:val="subscript"/>
        </w:rPr>
        <w:t>min</w:t>
      </w:r>
      <w:r>
        <w:rPr>
          <w:rFonts w:cs="Arial" w:ascii="aRial" w:hAnsi="aRial"/>
          <w:b w:val="false"/>
          <w:bCs w:val="false"/>
          <w:i w:val="false"/>
          <w:iCs w:val="false"/>
          <w:sz w:val="20"/>
          <w:szCs w:val="20"/>
          <w:u w:val="none"/>
        </w:rPr>
        <w:t xml:space="preserve"> is the minimum daily temperature, GR is green-up date, and FL is flowering date</w:t>
      </w:r>
      <w:r>
        <w:rPr>
          <w:rFonts w:cs="Arial" w:ascii="aRial" w:hAnsi="aRial"/>
          <w:b w:val="false"/>
          <w:bCs w:val="false"/>
          <w:i w:val="false"/>
          <w:iCs w:val="false"/>
          <w:sz w:val="20"/>
          <w:szCs w:val="20"/>
          <w:u w:val="none"/>
        </w:rPr>
        <w:t>(1, 2)</w:t>
      </w:r>
      <w:r>
        <w:rPr>
          <w:rFonts w:cs="Arial" w:ascii="aRial" w:hAnsi="aRial"/>
          <w:b w:val="false"/>
          <w:bCs w:val="false"/>
          <w:i w:val="false"/>
          <w:iCs w:val="false"/>
          <w:sz w:val="20"/>
          <w:szCs w:val="20"/>
          <w:u w:val="none"/>
        </w:rPr>
        <w:t xml:space="preserve">.  </w:t>
      </w:r>
      <w:r>
        <w:rPr>
          <w:rFonts w:cs="Arial" w:ascii="aRial" w:hAnsi="aRial"/>
          <w:b w:val="false"/>
          <w:bCs/>
          <w:i w:val="false"/>
          <w:iCs w:val="false"/>
          <w:sz w:val="20"/>
          <w:szCs w:val="20"/>
          <w:u w:val="none"/>
        </w:rPr>
        <w:t>On a specific day, if T</w:t>
      </w:r>
      <w:r>
        <w:rPr>
          <w:rFonts w:cs="Arial" w:ascii="aRial" w:hAnsi="aRial"/>
          <w:b w:val="false"/>
          <w:bCs/>
          <w:i w:val="false"/>
          <w:iCs w:val="false"/>
          <w:sz w:val="20"/>
          <w:szCs w:val="20"/>
          <w:u w:val="none"/>
          <w:vertAlign w:val="subscript"/>
        </w:rPr>
        <w:t>mean</w:t>
      </w:r>
      <w:r>
        <w:rPr>
          <w:rFonts w:cs="Arial" w:ascii="aRial" w:hAnsi="aRial"/>
          <w:b w:val="false"/>
          <w:bCs/>
          <w:i w:val="false"/>
          <w:iCs w:val="false"/>
          <w:sz w:val="20"/>
          <w:szCs w:val="20"/>
          <w:u w:val="none"/>
        </w:rPr>
        <w:t xml:space="preserve"> is less than T</w:t>
      </w:r>
      <w:r>
        <w:rPr>
          <w:rFonts w:cs="Arial" w:ascii="aRial" w:hAnsi="aRial"/>
          <w:b w:val="false"/>
          <w:bCs/>
          <w:i w:val="false"/>
          <w:iCs w:val="false"/>
          <w:sz w:val="20"/>
          <w:szCs w:val="20"/>
          <w:u w:val="none"/>
          <w:vertAlign w:val="subscript"/>
        </w:rPr>
        <w:t>base</w:t>
      </w:r>
      <w:r>
        <w:rPr>
          <w:rFonts w:cs="Arial" w:ascii="aRial" w:hAnsi="aRial"/>
          <w:b w:val="false"/>
          <w:bCs/>
          <w:i w:val="false"/>
          <w:iCs w:val="false"/>
          <w:sz w:val="20"/>
          <w:szCs w:val="20"/>
          <w:u w:val="none"/>
        </w:rPr>
        <w:t>, the GDD for that day is 0; if T</w:t>
      </w:r>
      <w:r>
        <w:rPr>
          <w:rFonts w:cs="Arial" w:ascii="aRial" w:hAnsi="aRial"/>
          <w:b w:val="false"/>
          <w:bCs/>
          <w:i w:val="false"/>
          <w:iCs w:val="false"/>
          <w:sz w:val="20"/>
          <w:szCs w:val="20"/>
          <w:u w:val="none"/>
          <w:vertAlign w:val="subscript"/>
        </w:rPr>
        <w:t>mean</w:t>
      </w:r>
      <w:r>
        <w:rPr>
          <w:rFonts w:cs="Arial" w:ascii="aRial" w:hAnsi="aRial"/>
          <w:b w:val="false"/>
          <w:bCs/>
          <w:i w:val="false"/>
          <w:iCs w:val="false"/>
          <w:sz w:val="20"/>
          <w:szCs w:val="20"/>
          <w:u w:val="none"/>
        </w:rPr>
        <w:t xml:space="preserve"> is bigger than T</w:t>
      </w:r>
      <w:r>
        <w:rPr>
          <w:rFonts w:cs="Arial" w:ascii="aRial" w:hAnsi="aRial"/>
          <w:b w:val="false"/>
          <w:bCs/>
          <w:i w:val="false"/>
          <w:iCs w:val="false"/>
          <w:sz w:val="20"/>
          <w:szCs w:val="20"/>
          <w:u w:val="none"/>
          <w:vertAlign w:val="subscript"/>
        </w:rPr>
        <w:t>base</w:t>
      </w:r>
      <w:r>
        <w:rPr>
          <w:rFonts w:cs="Arial" w:ascii="aRial" w:hAnsi="aRial"/>
          <w:b w:val="false"/>
          <w:bCs/>
          <w:i w:val="false"/>
          <w:iCs w:val="false"/>
          <w:sz w:val="20"/>
          <w:szCs w:val="20"/>
          <w:u w:val="none"/>
        </w:rPr>
        <w:t>, the GDD for that day is the difference between T</w:t>
      </w:r>
      <w:r>
        <w:rPr>
          <w:rFonts w:cs="Arial" w:ascii="aRial" w:hAnsi="aRial"/>
          <w:b w:val="false"/>
          <w:bCs/>
          <w:i w:val="false"/>
          <w:iCs w:val="false"/>
          <w:sz w:val="20"/>
          <w:szCs w:val="20"/>
          <w:u w:val="none"/>
          <w:vertAlign w:val="subscript"/>
        </w:rPr>
        <w:t>mean</w:t>
      </w:r>
      <w:r>
        <w:rPr>
          <w:rFonts w:cs="Arial" w:ascii="aRial" w:hAnsi="aRial"/>
          <w:b w:val="false"/>
          <w:bCs/>
          <w:i w:val="false"/>
          <w:iCs w:val="false"/>
          <w:sz w:val="20"/>
          <w:szCs w:val="20"/>
          <w:u w:val="none"/>
        </w:rPr>
        <w:t xml:space="preserve"> and T</w:t>
      </w:r>
      <w:r>
        <w:rPr>
          <w:rFonts w:cs="Arial" w:ascii="aRial" w:hAnsi="aRial"/>
          <w:b w:val="false"/>
          <w:bCs/>
          <w:i w:val="false"/>
          <w:iCs w:val="false"/>
          <w:sz w:val="20"/>
          <w:szCs w:val="20"/>
          <w:u w:val="none"/>
          <w:vertAlign w:val="subscript"/>
        </w:rPr>
        <w:t>base</w:t>
      </w:r>
      <w:r>
        <w:rPr>
          <w:rFonts w:cs="Arial" w:ascii="aRial" w:hAnsi="aRial"/>
          <w:b w:val="false"/>
          <w:bCs/>
          <w:i w:val="false"/>
          <w:iCs w:val="false"/>
          <w:sz w:val="20"/>
          <w:szCs w:val="20"/>
          <w:u w:val="none"/>
        </w:rPr>
        <w:t>.</w:t>
      </w:r>
      <w:r>
        <w:rPr>
          <w:rFonts w:cs="Arial" w:ascii="aRial" w:hAnsi="aRial"/>
          <w:b w:val="false"/>
          <w:bCs w:val="false"/>
          <w:i w:val="false"/>
          <w:iCs w:val="false"/>
          <w:sz w:val="20"/>
          <w:szCs w:val="20"/>
          <w:u w:val="none"/>
        </w:rPr>
        <w:t xml:space="preserve"> We also defined green-up as functions of seven variables: ‘green-up date’ (day of the year), cumulative GDD for the five, ten, or eighteen days prior to green-up, and the average air temperature for the five, ten, or eighteen days prior to green-up.</w:t>
      </w:r>
    </w:p>
    <w:p>
      <w:pPr>
        <w:pStyle w:val="Normal"/>
        <w:spacing w:lineRule="auto" w:line="360"/>
        <w:rPr>
          <w:rFonts w:cs="Arial"/>
          <w:b w:val="false"/>
          <w:b w:val="false"/>
          <w:bCs w:val="false"/>
          <w:u w:val="none"/>
        </w:rPr>
      </w:pPr>
      <w:r>
        <w:rPr>
          <w:rFonts w:ascii="aRial" w:hAnsi="aRial"/>
          <w:i w:val="false"/>
          <w:iCs w:val="false"/>
          <w:sz w:val="20"/>
          <w:szCs w:val="20"/>
        </w:rPr>
      </w:r>
    </w:p>
    <w:p>
      <w:pPr>
        <w:pStyle w:val="Normal"/>
        <w:spacing w:lineRule="auto" w:line="360"/>
        <w:ind w:left="0" w:right="0" w:hanging="0"/>
        <w:rPr>
          <w:rFonts w:ascii="aRial" w:hAnsi="aRial"/>
          <w:sz w:val="20"/>
          <w:szCs w:val="20"/>
        </w:rPr>
      </w:pPr>
      <w:r>
        <w:rPr>
          <w:rFonts w:cs="Arial" w:ascii="aRial" w:hAnsi="aRial"/>
          <w:b/>
          <w:bCs/>
          <w:sz w:val="20"/>
          <w:szCs w:val="20"/>
        </w:rPr>
        <w:t>Section S2.</w:t>
      </w:r>
      <w:r>
        <w:rPr>
          <w:rFonts w:cs="Arial" w:ascii="aRial" w:hAnsi="aRial"/>
          <w:sz w:val="20"/>
          <w:szCs w:val="20"/>
        </w:rPr>
        <w:t xml:space="preserve"> </w:t>
      </w:r>
      <w:r>
        <w:rPr>
          <w:rFonts w:cs="Arial" w:ascii="aRial" w:hAnsi="aRial"/>
          <w:i/>
          <w:iCs/>
          <w:sz w:val="20"/>
          <w:szCs w:val="20"/>
        </w:rPr>
        <w:t>Hypothesis-based covariance matrix definitions for mash.</w:t>
      </w:r>
    </w:p>
    <w:p>
      <w:pPr>
        <w:pStyle w:val="Normal"/>
        <w:spacing w:lineRule="auto" w:line="360"/>
        <w:ind w:left="0" w:right="0" w:hanging="0"/>
        <w:rPr>
          <w:rFonts w:ascii="aRial" w:hAnsi="aRial"/>
          <w:sz w:val="20"/>
          <w:szCs w:val="20"/>
        </w:rPr>
      </w:pPr>
      <w:r>
        <w:rPr>
          <w:rFonts w:eastAsia="Arial Unicode MS" w:cs="Arial" w:ascii="aRial" w:hAnsi="aRial"/>
          <w:i/>
          <w:iCs/>
          <w:sz w:val="20"/>
          <w:szCs w:val="20"/>
        </w:rPr>
        <w:tab/>
      </w:r>
      <w:r>
        <w:rPr>
          <w:rFonts w:eastAsia="Arial Unicode MS" w:cs="Arial" w:ascii="aRial" w:hAnsi="aRial"/>
          <w:i w:val="false"/>
          <w:iCs w:val="false"/>
          <w:sz w:val="20"/>
          <w:szCs w:val="20"/>
        </w:rPr>
        <w:t xml:space="preserve">We generated hypothesis-based covariance matrices derived from correlations in environmental cues in the green-up or flowering date windows for the three subpopulations (Table </w:t>
      </w:r>
      <w:r>
        <w:rPr>
          <w:rFonts w:eastAsia="Arial Unicode MS" w:cs="Arial" w:ascii="aRial" w:hAnsi="aRial"/>
          <w:i w:val="false"/>
          <w:iCs w:val="false"/>
          <w:sz w:val="20"/>
          <w:szCs w:val="20"/>
        </w:rPr>
        <w:t>S</w:t>
      </w:r>
      <w:r>
        <w:rPr>
          <w:rFonts w:eastAsia="Arial Unicode MS" w:cs="Arial" w:ascii="aRial" w:hAnsi="aRial"/>
          <w:i w:val="false"/>
          <w:iCs w:val="false"/>
          <w:sz w:val="20"/>
          <w:szCs w:val="20"/>
        </w:rPr>
        <w:t xml:space="preserve">1). These covariance matrices were derived from the same set of phenotypes as environmental functions of green-up and flowering, and represent the correlations between genotypes for these phenotypes across our common gardens. For the diagonal of these matrices, we used the coefficient of variation in these phenotypes within the subpopulation at that garden. </w:t>
      </w:r>
      <w:r>
        <w:rPr>
          <w:rFonts w:eastAsia="Arial Unicode MS" w:cs="Arial" w:ascii="aRial" w:hAnsi="aRial"/>
          <w:i w:val="false"/>
          <w:iCs w:val="false"/>
          <w:sz w:val="20"/>
          <w:szCs w:val="20"/>
        </w:rPr>
        <w:t xml:space="preserve">Code used to generate these matrices can be found at  </w:t>
      </w:r>
      <w:hyperlink r:id="rId4">
        <w:r>
          <w:rPr>
            <w:rStyle w:val="InternetLink"/>
            <w:rFonts w:eastAsia="Arial Unicode MS" w:cs="Arial" w:ascii="aRial" w:hAnsi="aRial"/>
            <w:i w:val="false"/>
            <w:iCs w:val="false"/>
            <w:sz w:val="20"/>
            <w:szCs w:val="20"/>
          </w:rPr>
          <w:t>git@github.com</w:t>
        </w:r>
      </w:hyperlink>
      <w:r>
        <w:rPr>
          <w:rFonts w:eastAsia="Arial Unicode MS" w:cs="Arial" w:ascii="aRial" w:hAnsi="aRial"/>
          <w:i w:val="false"/>
          <w:iCs w:val="false"/>
          <w:sz w:val="20"/>
          <w:szCs w:val="20"/>
        </w:rPr>
        <w:t xml:space="preserve">:Alice-MacQueen/pvdiv-phenology-gxe.git/R/Analysis_v0.6_weather_covariance_Uhyp_greenup.Rmd. </w:t>
      </w:r>
      <w:r>
        <w:rPr>
          <w:rFonts w:eastAsia="Arial Unicode MS" w:cs="Arial" w:ascii="aRial" w:hAnsi="aRial"/>
          <w:i w:val="false"/>
          <w:iCs w:val="false"/>
          <w:sz w:val="20"/>
          <w:szCs w:val="20"/>
        </w:rPr>
        <w:t>We used distinct sets of user-specified, hypothesis-based covariance matrices for green-up and flowering, but the same set of matrices for all genetic subgroups. If a hypothesis-based matrix does not capture a common pattern of SNP effects, mash assigns small mixture proportions onto this matrix using maximum likelihood, giving that covariance matrix a low posterior weight summed across all SNP effects, which ultimately causes little to no change in the mash model. Alternatively, SNPs with high mixture proportions on particular environmental covariance matrices and large Bayes factors, which summarize the overall significance of a non-zero effect, represent small genomic intervals with strong evidence for a phenotypic effect correlated with an environmental driver.</w:t>
      </w:r>
    </w:p>
    <w:p>
      <w:pPr>
        <w:pStyle w:val="Normal"/>
        <w:spacing w:lineRule="auto" w:line="360"/>
        <w:rPr>
          <w:rFonts w:ascii="aRial" w:hAnsi="aRial"/>
          <w:sz w:val="20"/>
          <w:szCs w:val="20"/>
        </w:rPr>
      </w:pPr>
      <w:r>
        <w:rPr>
          <w:rFonts w:ascii="aRial" w:hAnsi="aRial"/>
          <w:b/>
          <w:bCs/>
          <w:i w:val="false"/>
          <w:iCs w:val="false"/>
          <w:sz w:val="20"/>
          <w:szCs w:val="20"/>
        </w:rPr>
        <w:t xml:space="preserve">Section S3. </w:t>
      </w:r>
      <w:r>
        <w:rPr>
          <w:rFonts w:ascii="aRial" w:hAnsi="aRial"/>
          <w:i/>
          <w:iCs/>
          <w:sz w:val="20"/>
          <w:szCs w:val="20"/>
        </w:rPr>
        <w:t xml:space="preserve">Narrow-sense heritability </w:t>
      </w:r>
    </w:p>
    <w:p>
      <w:pPr>
        <w:pStyle w:val="Normal"/>
        <w:spacing w:lineRule="auto" w:line="360"/>
        <w:rPr>
          <w:rFonts w:ascii="aRial" w:hAnsi="aRial"/>
          <w:sz w:val="20"/>
          <w:szCs w:val="20"/>
        </w:rPr>
      </w:pPr>
      <w:r>
        <w:rPr>
          <w:rFonts w:ascii="aRial" w:hAnsi="aRial"/>
          <w:sz w:val="20"/>
          <w:szCs w:val="20"/>
        </w:rPr>
        <w:tab/>
        <w:t>In the diversity panel, we determined narrow-sense heritabilities (h</w:t>
      </w:r>
      <w:r>
        <w:rPr>
          <w:rFonts w:ascii="aRial" w:hAnsi="aRial"/>
          <w:sz w:val="20"/>
          <w:szCs w:val="20"/>
          <w:vertAlign w:val="superscript"/>
        </w:rPr>
        <w:t>2</w:t>
      </w:r>
      <w:r>
        <w:rPr>
          <w:rFonts w:ascii="aRial" w:hAnsi="aRial"/>
          <w:sz w:val="20"/>
          <w:szCs w:val="20"/>
        </w:rPr>
        <w:t xml:space="preserve">) for green-up and flowering dates at single gardens using genomic relationship matrices calculated using the van Raden method </w:t>
      </w:r>
      <w:r>
        <w:rPr>
          <w:rFonts w:ascii="aRial" w:hAnsi="aRial"/>
          <w:sz w:val="20"/>
          <w:szCs w:val="20"/>
        </w:rPr>
        <w:t>(3)</w:t>
      </w:r>
      <w:r>
        <w:rPr>
          <w:rFonts w:ascii="aRial" w:hAnsi="aRial"/>
          <w:sz w:val="20"/>
          <w:szCs w:val="20"/>
        </w:rPr>
        <w:t>. Genomic relationship matrices were calculated within each subpopulation (Midwest and Gulf) and for both genetic subpopulations (Both). We used ASReml (VSN International) to specify mixed models of the form:</w:t>
      </w:r>
    </w:p>
    <w:p>
      <w:pPr>
        <w:pStyle w:val="Normal"/>
        <w:spacing w:lineRule="auto" w:line="360"/>
        <w:jc w:val="center"/>
        <w:rPr>
          <w:rFonts w:ascii="aRial" w:hAnsi="aRial"/>
          <w:sz w:val="20"/>
          <w:szCs w:val="20"/>
        </w:rPr>
      </w:pPr>
      <w:r>
        <w:rPr>
          <w:rFonts w:ascii="aRial" w:hAnsi="aRial"/>
          <w:b/>
          <w:bCs/>
          <w:sz w:val="20"/>
          <w:szCs w:val="20"/>
        </w:rPr>
        <w:t>y</w:t>
      </w:r>
      <w:r>
        <w:rPr>
          <w:rFonts w:ascii="aRial" w:hAnsi="aRial"/>
          <w:sz w:val="20"/>
          <w:szCs w:val="20"/>
        </w:rPr>
        <w:t xml:space="preserve"> = 1 +</w:t>
      </w:r>
      <w:r>
        <w:rPr>
          <w:rFonts w:ascii="aRial" w:hAnsi="aRial"/>
          <w:i/>
          <w:iCs/>
          <w:sz w:val="20"/>
          <w:szCs w:val="20"/>
        </w:rPr>
        <w:t xml:space="preserve"> Zu</w:t>
      </w:r>
      <w:r>
        <w:rPr>
          <w:rFonts w:ascii="aRial" w:hAnsi="aRial"/>
          <w:sz w:val="20"/>
          <w:szCs w:val="20"/>
        </w:rPr>
        <w:t xml:space="preserve"> + </w:t>
      </w:r>
      <w:r>
        <w:rPr>
          <w:rFonts w:ascii="aRial" w:hAnsi="aRial"/>
          <w:i/>
          <w:iCs/>
          <w:sz w:val="20"/>
          <w:szCs w:val="20"/>
        </w:rPr>
        <w:t>e</w:t>
      </w:r>
    </w:p>
    <w:p>
      <w:pPr>
        <w:pStyle w:val="Normal"/>
        <w:spacing w:lineRule="auto" w:line="360"/>
        <w:jc w:val="center"/>
        <w:rPr>
          <w:rFonts w:ascii="aRial" w:hAnsi="aRial"/>
          <w:sz w:val="20"/>
          <w:szCs w:val="20"/>
        </w:rPr>
      </w:pPr>
      <w:r>
        <w:rPr>
          <w:rFonts w:ascii="aRial" w:hAnsi="aRial"/>
          <w:sz w:val="20"/>
          <w:szCs w:val="20"/>
        </w:rPr>
        <w:t>Var(</w:t>
      </w:r>
      <w:r>
        <w:rPr>
          <w:rFonts w:ascii="aRial" w:hAnsi="aRial"/>
          <w:i/>
          <w:iCs/>
          <w:sz w:val="20"/>
          <w:szCs w:val="20"/>
        </w:rPr>
        <w:t>u</w:t>
      </w:r>
      <w:r>
        <w:rPr>
          <w:rFonts w:ascii="aRial" w:hAnsi="aRial"/>
          <w:sz w:val="20"/>
          <w:szCs w:val="20"/>
        </w:rPr>
        <w:t xml:space="preserve">) = </w:t>
      </w:r>
      <w:r>
        <w:rPr>
          <w:rFonts w:ascii="aRial" w:hAnsi="aRial"/>
          <w:i/>
          <w:iCs/>
          <w:sz w:val="20"/>
          <w:szCs w:val="20"/>
        </w:rPr>
        <w:t>G</w:t>
      </w:r>
      <w:r>
        <w:rPr>
          <w:rFonts w:ascii="aRial" w:hAnsi="aRial"/>
          <w:sz w:val="20"/>
          <w:szCs w:val="20"/>
        </w:rPr>
        <w:t>σ</w:t>
      </w:r>
      <w:r>
        <w:rPr>
          <w:rFonts w:ascii="aRial" w:hAnsi="aRial"/>
          <w:sz w:val="20"/>
          <w:szCs w:val="20"/>
          <w:vertAlign w:val="subscript"/>
        </w:rPr>
        <w:t>u</w:t>
      </w:r>
      <w:r>
        <w:rPr>
          <w:rFonts w:ascii="aRial" w:hAnsi="aRial"/>
          <w:sz w:val="20"/>
          <w:szCs w:val="20"/>
          <w:vertAlign w:val="superscript"/>
        </w:rPr>
        <w:t>2</w:t>
      </w:r>
    </w:p>
    <w:p>
      <w:pPr>
        <w:pStyle w:val="Normal"/>
        <w:spacing w:lineRule="auto" w:line="360"/>
        <w:jc w:val="center"/>
        <w:rPr>
          <w:rFonts w:ascii="aRial" w:hAnsi="aRial"/>
          <w:sz w:val="20"/>
          <w:szCs w:val="20"/>
        </w:rPr>
      </w:pPr>
      <w:r>
        <w:rPr>
          <w:rFonts w:ascii="aRial" w:hAnsi="aRial"/>
          <w:sz w:val="20"/>
          <w:szCs w:val="20"/>
        </w:rPr>
        <w:t>Var(</w:t>
      </w:r>
      <w:r>
        <w:rPr>
          <w:rFonts w:ascii="aRial" w:hAnsi="aRial"/>
          <w:i/>
          <w:iCs/>
          <w:sz w:val="20"/>
          <w:szCs w:val="20"/>
        </w:rPr>
        <w:t>e</w:t>
      </w:r>
      <w:r>
        <w:rPr>
          <w:rFonts w:ascii="aRial" w:hAnsi="aRial"/>
          <w:sz w:val="20"/>
          <w:szCs w:val="20"/>
        </w:rPr>
        <w:t xml:space="preserve">) = </w:t>
      </w:r>
      <w:r>
        <w:rPr>
          <w:rFonts w:ascii="aRial" w:hAnsi="aRial"/>
          <w:i/>
          <w:iCs/>
          <w:sz w:val="20"/>
          <w:szCs w:val="20"/>
        </w:rPr>
        <w:t>I</w:t>
      </w:r>
      <w:r>
        <w:rPr>
          <w:rFonts w:ascii="aRial" w:hAnsi="aRial"/>
          <w:sz w:val="20"/>
          <w:szCs w:val="20"/>
        </w:rPr>
        <w:t>σ</w:t>
      </w:r>
      <w:r>
        <w:rPr>
          <w:rFonts w:ascii="aRial" w:hAnsi="aRial"/>
          <w:sz w:val="20"/>
          <w:szCs w:val="20"/>
          <w:vertAlign w:val="subscript"/>
        </w:rPr>
        <w:t>e</w:t>
      </w:r>
      <w:r>
        <w:rPr>
          <w:rFonts w:ascii="aRial" w:hAnsi="aRial"/>
          <w:sz w:val="20"/>
          <w:szCs w:val="20"/>
          <w:vertAlign w:val="superscript"/>
        </w:rPr>
        <w:t>2</w:t>
      </w:r>
    </w:p>
    <w:p>
      <w:pPr>
        <w:pStyle w:val="Normal"/>
        <w:spacing w:lineRule="auto" w:line="360"/>
        <w:rPr>
          <w:rFonts w:ascii="aRial" w:hAnsi="aRial"/>
          <w:sz w:val="20"/>
          <w:szCs w:val="20"/>
        </w:rPr>
      </w:pPr>
      <w:r>
        <w:rPr>
          <w:rFonts w:ascii="aRial" w:hAnsi="aRial"/>
          <w:sz w:val="20"/>
          <w:szCs w:val="20"/>
        </w:rPr>
        <w:t xml:space="preserve">in which the vector </w:t>
      </w:r>
      <w:r>
        <w:rPr>
          <w:rFonts w:ascii="aRial" w:hAnsi="aRial"/>
          <w:b/>
          <w:bCs/>
          <w:sz w:val="20"/>
          <w:szCs w:val="20"/>
        </w:rPr>
        <w:t xml:space="preserve">y </w:t>
      </w:r>
      <w:r>
        <w:rPr>
          <w:rFonts w:ascii="aRial" w:hAnsi="aRial"/>
          <w:sz w:val="20"/>
          <w:szCs w:val="20"/>
        </w:rPr>
        <w:t xml:space="preserve">represents the flowering date or green-up date values for that garden, Z the design matrix for random effects, </w:t>
      </w:r>
      <w:r>
        <w:rPr>
          <w:rFonts w:ascii="aRial" w:hAnsi="aRial"/>
          <w:i/>
          <w:iCs/>
          <w:sz w:val="20"/>
          <w:szCs w:val="20"/>
        </w:rPr>
        <w:t>u</w:t>
      </w:r>
      <w:r>
        <w:rPr>
          <w:rFonts w:ascii="aRial" w:hAnsi="aRial"/>
          <w:sz w:val="20"/>
          <w:szCs w:val="20"/>
        </w:rPr>
        <w:t xml:space="preserve"> the whole genome additive genetic effect, and e the residual. Matrix G is the whole genomic relationship matrix based on all SNPs retained for subpopulation-specific analyses. I is the rank-y identity matrix. Phenotypic variance (σ</w:t>
      </w:r>
      <w:r>
        <w:rPr>
          <w:rFonts w:ascii="aRial" w:hAnsi="aRial"/>
          <w:sz w:val="20"/>
          <w:szCs w:val="20"/>
          <w:vertAlign w:val="subscript"/>
        </w:rPr>
        <w:t>p</w:t>
      </w:r>
      <w:r>
        <w:rPr>
          <w:rFonts w:ascii="aRial" w:hAnsi="aRial"/>
          <w:sz w:val="20"/>
          <w:szCs w:val="20"/>
          <w:vertAlign w:val="superscript"/>
        </w:rPr>
        <w:t>2</w:t>
      </w:r>
      <w:r>
        <w:rPr>
          <w:rFonts w:ascii="aRial" w:hAnsi="aRial"/>
          <w:sz w:val="20"/>
          <w:szCs w:val="20"/>
        </w:rPr>
        <w:t>) is σ</w:t>
      </w:r>
      <w:r>
        <w:rPr>
          <w:rFonts w:ascii="aRial" w:hAnsi="aRial"/>
          <w:sz w:val="20"/>
          <w:szCs w:val="20"/>
          <w:vertAlign w:val="subscript"/>
        </w:rPr>
        <w:t>u</w:t>
      </w:r>
      <w:r>
        <w:rPr>
          <w:rFonts w:ascii="aRial" w:hAnsi="aRial"/>
          <w:sz w:val="20"/>
          <w:szCs w:val="20"/>
          <w:vertAlign w:val="superscript"/>
        </w:rPr>
        <w:t>2</w:t>
      </w:r>
      <w:r>
        <w:rPr>
          <w:rFonts w:ascii="aRial" w:hAnsi="aRial"/>
          <w:sz w:val="20"/>
          <w:szCs w:val="20"/>
        </w:rPr>
        <w:t xml:space="preserve"> + σ</w:t>
      </w:r>
      <w:r>
        <w:rPr>
          <w:rFonts w:ascii="aRial" w:hAnsi="aRial"/>
          <w:sz w:val="20"/>
          <w:szCs w:val="20"/>
          <w:vertAlign w:val="subscript"/>
        </w:rPr>
        <w:t>e</w:t>
      </w:r>
      <w:r>
        <w:rPr>
          <w:rFonts w:ascii="aRial" w:hAnsi="aRial"/>
          <w:sz w:val="20"/>
          <w:szCs w:val="20"/>
          <w:vertAlign w:val="superscript"/>
        </w:rPr>
        <w:t>2</w:t>
      </w:r>
      <w:r>
        <w:rPr>
          <w:rFonts w:ascii="aRial" w:hAnsi="aRial"/>
          <w:sz w:val="20"/>
          <w:szCs w:val="20"/>
        </w:rPr>
        <w:t>. Narrow-sense heritability is then h</w:t>
      </w:r>
      <w:r>
        <w:rPr>
          <w:rFonts w:ascii="aRial" w:hAnsi="aRial"/>
          <w:sz w:val="20"/>
          <w:szCs w:val="20"/>
          <w:vertAlign w:val="superscript"/>
        </w:rPr>
        <w:t>2</w:t>
      </w:r>
      <w:r>
        <w:rPr>
          <w:rFonts w:ascii="aRial" w:hAnsi="aRial"/>
          <w:sz w:val="20"/>
          <w:szCs w:val="20"/>
        </w:rPr>
        <w:t xml:space="preserve"> = (σ</w:t>
      </w:r>
      <w:r>
        <w:rPr>
          <w:rFonts w:ascii="aRial" w:hAnsi="aRial"/>
          <w:sz w:val="20"/>
          <w:szCs w:val="20"/>
          <w:vertAlign w:val="subscript"/>
        </w:rPr>
        <w:t>u</w:t>
      </w:r>
      <w:r>
        <w:rPr>
          <w:rFonts w:ascii="aRial" w:hAnsi="aRial"/>
          <w:sz w:val="20"/>
          <w:szCs w:val="20"/>
          <w:vertAlign w:val="superscript"/>
        </w:rPr>
        <w:t>2</w:t>
      </w:r>
      <w:r>
        <w:rPr>
          <w:rFonts w:ascii="aRial" w:hAnsi="aRial"/>
          <w:sz w:val="20"/>
          <w:szCs w:val="20"/>
        </w:rPr>
        <w:t>/σ</w:t>
      </w:r>
      <w:r>
        <w:rPr>
          <w:rFonts w:ascii="aRial" w:hAnsi="aRial"/>
          <w:sz w:val="20"/>
          <w:szCs w:val="20"/>
          <w:vertAlign w:val="subscript"/>
        </w:rPr>
        <w:t>p</w:t>
      </w:r>
      <w:r>
        <w:rPr>
          <w:rFonts w:ascii="aRial" w:hAnsi="aRial"/>
          <w:sz w:val="20"/>
          <w:szCs w:val="20"/>
          <w:vertAlign w:val="superscript"/>
        </w:rPr>
        <w:t>2</w:t>
      </w:r>
      <w:r>
        <w:rPr>
          <w:rFonts w:ascii="aRial" w:hAnsi="aRial"/>
          <w:sz w:val="20"/>
          <w:szCs w:val="20"/>
        </w:rPr>
        <w:t>).</w:t>
      </w:r>
    </w:p>
    <w:p>
      <w:pPr>
        <w:pStyle w:val="Normal"/>
        <w:spacing w:lineRule="auto" w:line="360"/>
        <w:rPr>
          <w:rFonts w:ascii="aRial" w:hAnsi="aRial"/>
          <w:sz w:val="20"/>
          <w:szCs w:val="20"/>
        </w:rPr>
      </w:pPr>
      <w:r>
        <w:rPr>
          <w:rFonts w:ascii="aRial" w:hAnsi="aRial"/>
          <w:sz w:val="20"/>
          <w:szCs w:val="20"/>
        </w:rPr>
        <w:tab/>
        <w:t>These models were run for each of the eight gardens, and across all gardens by adding an additional environmental effect of site without an interaction term.  This resulted in 54 models: 3 sets of populations (the Gulf, Midwest, and Both subpopulations) for 9 garden sets (all eight gardens separately, and all eight gardens together) and two phenotypes (green-up date and flowering date).</w:t>
      </w:r>
    </w:p>
    <w:p>
      <w:pPr>
        <w:pStyle w:val="Normal"/>
        <w:spacing w:lineRule="auto" w:line="360"/>
        <w:rPr>
          <w:rFonts w:ascii="aRial" w:hAnsi="aRial"/>
          <w:i/>
          <w:i/>
          <w:iCs/>
          <w:sz w:val="20"/>
          <w:szCs w:val="20"/>
        </w:rPr>
      </w:pPr>
      <w:r>
        <w:rPr>
          <w:rFonts w:ascii="aRial" w:hAnsi="aRial"/>
          <w:i/>
          <w:iCs/>
          <w:sz w:val="20"/>
          <w:szCs w:val="20"/>
        </w:rPr>
      </w:r>
    </w:p>
    <w:p>
      <w:pPr>
        <w:pStyle w:val="Normal"/>
        <w:spacing w:lineRule="auto" w:line="360"/>
        <w:rPr>
          <w:rFonts w:ascii="aRial" w:hAnsi="aRial"/>
          <w:sz w:val="20"/>
          <w:szCs w:val="20"/>
        </w:rPr>
      </w:pPr>
      <w:r>
        <w:rPr>
          <w:rFonts w:ascii="aRial" w:hAnsi="aRial"/>
          <w:b/>
          <w:bCs/>
          <w:i w:val="false"/>
          <w:iCs w:val="false"/>
          <w:sz w:val="20"/>
          <w:szCs w:val="20"/>
        </w:rPr>
        <w:t xml:space="preserve">Section S4. </w:t>
      </w:r>
      <w:r>
        <w:rPr>
          <w:rFonts w:ascii="aRial" w:hAnsi="aRial"/>
          <w:i/>
          <w:iCs/>
          <w:sz w:val="20"/>
          <w:szCs w:val="20"/>
        </w:rPr>
        <w:t>Variance components analysis</w:t>
      </w:r>
    </w:p>
    <w:p>
      <w:pPr>
        <w:pStyle w:val="Normal"/>
        <w:spacing w:lineRule="auto" w:line="360"/>
        <w:rPr>
          <w:rFonts w:ascii="aRial" w:hAnsi="aRial"/>
          <w:sz w:val="20"/>
          <w:szCs w:val="20"/>
        </w:rPr>
      </w:pPr>
      <w:r>
        <w:rPr>
          <w:rFonts w:ascii="aRial" w:hAnsi="aRial"/>
          <w:sz w:val="20"/>
          <w:szCs w:val="20"/>
        </w:rPr>
        <w:tab/>
        <w:t>In the diversity panel, to evaluate our environmental cues as genetic triggers of flowering, we defined green-up and flowering for individual genotypes as functions of seven and eight environmental cues, respectively, then used variance components analysis to partition variance attributed to genetic effects (G), genotype by environment interactions (GxE), environmental effects (E), and error for these phenology-related traits using linear mixed models. We used mixed models of the form:</w:t>
      </w:r>
    </w:p>
    <w:p>
      <w:pPr>
        <w:pStyle w:val="Normal"/>
        <w:spacing w:lineRule="auto" w:line="360"/>
        <w:jc w:val="center"/>
        <w:rPr>
          <w:rFonts w:ascii="aRial" w:hAnsi="aRial"/>
          <w:sz w:val="20"/>
          <w:szCs w:val="20"/>
        </w:rPr>
      </w:pPr>
      <w:r>
        <w:rPr>
          <w:rFonts w:ascii="aRial" w:hAnsi="aRial"/>
          <w:b/>
          <w:bCs/>
          <w:sz w:val="20"/>
          <w:szCs w:val="20"/>
        </w:rPr>
        <w:t>y</w:t>
      </w:r>
      <w:r>
        <w:rPr>
          <w:rFonts w:ascii="aRial" w:hAnsi="aRial"/>
          <w:sz w:val="20"/>
          <w:szCs w:val="20"/>
        </w:rPr>
        <w:t xml:space="preserve"> = 1 + </w:t>
      </w:r>
      <w:r>
        <w:rPr>
          <w:rFonts w:ascii="aRial" w:hAnsi="aRial"/>
          <w:i/>
          <w:iCs/>
          <w:sz w:val="20"/>
          <w:szCs w:val="20"/>
        </w:rPr>
        <w:t>Z</w:t>
      </w:r>
      <w:r>
        <w:rPr>
          <w:rFonts w:ascii="aRial" w:hAnsi="aRial"/>
          <w:i/>
          <w:iCs/>
          <w:sz w:val="20"/>
          <w:szCs w:val="20"/>
          <w:vertAlign w:val="subscript"/>
        </w:rPr>
        <w:t>u</w:t>
      </w:r>
      <w:r>
        <w:rPr>
          <w:rFonts w:ascii="aRial" w:hAnsi="aRial"/>
          <w:i/>
          <w:iCs/>
          <w:sz w:val="20"/>
          <w:szCs w:val="20"/>
        </w:rPr>
        <w:t>u</w:t>
      </w:r>
      <w:r>
        <w:rPr>
          <w:rFonts w:ascii="aRial" w:hAnsi="aRial"/>
          <w:sz w:val="20"/>
          <w:szCs w:val="20"/>
        </w:rPr>
        <w:t xml:space="preserve"> + </w:t>
      </w:r>
      <w:r>
        <w:rPr>
          <w:rFonts w:ascii="aRial" w:hAnsi="aRial"/>
          <w:i/>
          <w:iCs/>
          <w:sz w:val="20"/>
          <w:szCs w:val="20"/>
        </w:rPr>
        <w:t>Z</w:t>
      </w:r>
      <w:r>
        <w:rPr>
          <w:rFonts w:ascii="aRial" w:hAnsi="aRial"/>
          <w:i/>
          <w:iCs/>
          <w:sz w:val="20"/>
          <w:szCs w:val="20"/>
          <w:vertAlign w:val="subscript"/>
        </w:rPr>
        <w:t>l</w:t>
      </w:r>
      <w:r>
        <w:rPr>
          <w:rFonts w:ascii="aRial" w:hAnsi="aRial"/>
          <w:i/>
          <w:iCs/>
          <w:sz w:val="20"/>
          <w:szCs w:val="20"/>
        </w:rPr>
        <w:t>l</w:t>
      </w:r>
      <w:r>
        <w:rPr>
          <w:rFonts w:ascii="aRial" w:hAnsi="aRial"/>
          <w:sz w:val="20"/>
          <w:szCs w:val="20"/>
        </w:rPr>
        <w:t xml:space="preserve"> + </w:t>
      </w:r>
      <w:r>
        <w:rPr>
          <w:rFonts w:ascii="aRial" w:hAnsi="aRial"/>
          <w:i/>
          <w:iCs/>
          <w:sz w:val="20"/>
          <w:szCs w:val="20"/>
        </w:rPr>
        <w:t>Z</w:t>
      </w:r>
      <w:r>
        <w:rPr>
          <w:rFonts w:ascii="aRial" w:hAnsi="aRial"/>
          <w:i/>
          <w:iCs/>
          <w:sz w:val="20"/>
          <w:szCs w:val="20"/>
          <w:vertAlign w:val="subscript"/>
        </w:rPr>
        <w:t>ul</w:t>
      </w:r>
      <w:r>
        <w:rPr>
          <w:rFonts w:ascii="aRial" w:hAnsi="aRial"/>
          <w:i/>
          <w:iCs/>
          <w:sz w:val="20"/>
          <w:szCs w:val="20"/>
        </w:rPr>
        <w:t>ul</w:t>
      </w:r>
      <w:r>
        <w:rPr>
          <w:rFonts w:ascii="aRial" w:hAnsi="aRial"/>
          <w:i/>
          <w:iCs/>
          <w:sz w:val="20"/>
          <w:szCs w:val="20"/>
          <w:vertAlign w:val="subscript"/>
        </w:rPr>
        <w:t xml:space="preserve"> </w:t>
      </w:r>
      <w:r>
        <w:rPr>
          <w:rFonts w:ascii="aRial" w:hAnsi="aRial"/>
          <w:sz w:val="20"/>
          <w:szCs w:val="20"/>
        </w:rPr>
        <w:t xml:space="preserve">+ </w:t>
      </w:r>
      <w:r>
        <w:rPr>
          <w:rFonts w:ascii="aRial" w:hAnsi="aRial"/>
          <w:i/>
          <w:iCs/>
          <w:sz w:val="20"/>
          <w:szCs w:val="20"/>
        </w:rPr>
        <w:t>e</w:t>
      </w:r>
    </w:p>
    <w:p>
      <w:pPr>
        <w:pStyle w:val="Normal"/>
        <w:spacing w:lineRule="auto" w:line="360"/>
        <w:jc w:val="center"/>
        <w:rPr>
          <w:rFonts w:ascii="aRial" w:hAnsi="aRial"/>
          <w:sz w:val="20"/>
          <w:szCs w:val="20"/>
        </w:rPr>
      </w:pPr>
      <w:r>
        <w:rPr>
          <w:rFonts w:ascii="aRial" w:hAnsi="aRial"/>
          <w:sz w:val="20"/>
          <w:szCs w:val="20"/>
        </w:rPr>
        <w:t>Var(</w:t>
      </w:r>
      <w:r>
        <w:rPr>
          <w:rFonts w:ascii="aRial" w:hAnsi="aRial"/>
          <w:i/>
          <w:iCs/>
          <w:sz w:val="20"/>
          <w:szCs w:val="20"/>
        </w:rPr>
        <w:t>u</w:t>
      </w:r>
      <w:r>
        <w:rPr>
          <w:rFonts w:ascii="aRial" w:hAnsi="aRial"/>
          <w:sz w:val="20"/>
          <w:szCs w:val="20"/>
        </w:rPr>
        <w:t xml:space="preserve">) = </w:t>
      </w:r>
      <w:r>
        <w:rPr>
          <w:rFonts w:ascii="aRial" w:hAnsi="aRial"/>
          <w:i/>
          <w:iCs/>
          <w:sz w:val="20"/>
          <w:szCs w:val="20"/>
        </w:rPr>
        <w:t>G</w:t>
      </w:r>
      <w:r>
        <w:rPr>
          <w:rFonts w:ascii="aRial" w:hAnsi="aRial"/>
          <w:sz w:val="20"/>
          <w:szCs w:val="20"/>
        </w:rPr>
        <w:t>σ</w:t>
      </w:r>
      <w:r>
        <w:rPr>
          <w:rFonts w:ascii="aRial" w:hAnsi="aRial"/>
          <w:sz w:val="20"/>
          <w:szCs w:val="20"/>
          <w:vertAlign w:val="subscript"/>
        </w:rPr>
        <w:t>u</w:t>
      </w:r>
      <w:r>
        <w:rPr>
          <w:rFonts w:ascii="aRial" w:hAnsi="aRial"/>
          <w:sz w:val="20"/>
          <w:szCs w:val="20"/>
          <w:vertAlign w:val="superscript"/>
        </w:rPr>
        <w:t>2</w:t>
      </w:r>
    </w:p>
    <w:p>
      <w:pPr>
        <w:pStyle w:val="Normal"/>
        <w:spacing w:lineRule="auto" w:line="360"/>
        <w:jc w:val="center"/>
        <w:rPr>
          <w:rFonts w:ascii="aRial" w:hAnsi="aRial"/>
          <w:sz w:val="20"/>
          <w:szCs w:val="20"/>
        </w:rPr>
      </w:pPr>
      <w:r>
        <w:rPr>
          <w:rFonts w:ascii="aRial" w:hAnsi="aRial"/>
          <w:sz w:val="20"/>
          <w:szCs w:val="20"/>
        </w:rPr>
        <w:t>Var(</w:t>
      </w:r>
      <w:r>
        <w:rPr>
          <w:rFonts w:ascii="aRial" w:hAnsi="aRial"/>
          <w:i/>
          <w:iCs/>
          <w:sz w:val="20"/>
          <w:szCs w:val="20"/>
        </w:rPr>
        <w:t>l</w:t>
      </w:r>
      <w:r>
        <w:rPr>
          <w:rFonts w:ascii="aRial" w:hAnsi="aRial"/>
          <w:sz w:val="20"/>
          <w:szCs w:val="20"/>
        </w:rPr>
        <w:t xml:space="preserve">) = </w:t>
      </w:r>
      <w:r>
        <w:rPr>
          <w:rFonts w:ascii="aRial" w:hAnsi="aRial"/>
          <w:i/>
          <w:iCs/>
          <w:sz w:val="20"/>
          <w:szCs w:val="20"/>
        </w:rPr>
        <w:t>I</w:t>
      </w:r>
      <w:r>
        <w:rPr>
          <w:rFonts w:ascii="aRial" w:hAnsi="aRial"/>
          <w:sz w:val="20"/>
          <w:szCs w:val="20"/>
        </w:rPr>
        <w:t>σ</w:t>
      </w:r>
      <w:r>
        <w:rPr>
          <w:rFonts w:ascii="aRial" w:hAnsi="aRial"/>
          <w:sz w:val="20"/>
          <w:szCs w:val="20"/>
          <w:vertAlign w:val="subscript"/>
        </w:rPr>
        <w:t>E</w:t>
      </w:r>
      <w:r>
        <w:rPr>
          <w:rFonts w:ascii="aRial" w:hAnsi="aRial"/>
          <w:sz w:val="20"/>
          <w:szCs w:val="20"/>
          <w:vertAlign w:val="superscript"/>
        </w:rPr>
        <w:t>2</w:t>
      </w:r>
    </w:p>
    <w:p>
      <w:pPr>
        <w:pStyle w:val="Normal"/>
        <w:spacing w:lineRule="auto" w:line="360"/>
        <w:jc w:val="center"/>
        <w:rPr>
          <w:rFonts w:ascii="aRial" w:hAnsi="aRial"/>
          <w:sz w:val="20"/>
          <w:szCs w:val="20"/>
        </w:rPr>
      </w:pPr>
      <w:r>
        <w:rPr>
          <w:rFonts w:ascii="aRial" w:hAnsi="aRial"/>
          <w:sz w:val="20"/>
          <w:szCs w:val="20"/>
        </w:rPr>
        <w:t>Var(</w:t>
      </w:r>
      <w:r>
        <w:rPr>
          <w:rFonts w:ascii="aRial" w:hAnsi="aRial"/>
          <w:i/>
          <w:iCs/>
          <w:sz w:val="20"/>
          <w:szCs w:val="20"/>
        </w:rPr>
        <w:t>ul</w:t>
      </w:r>
      <w:r>
        <w:rPr>
          <w:rFonts w:ascii="aRial" w:hAnsi="aRial"/>
          <w:sz w:val="20"/>
          <w:szCs w:val="20"/>
        </w:rPr>
        <w:t xml:space="preserve">) = </w:t>
      </w:r>
      <w:r>
        <w:rPr>
          <w:rFonts w:ascii="aRial" w:hAnsi="aRial"/>
          <w:i/>
          <w:iCs/>
          <w:sz w:val="20"/>
          <w:szCs w:val="20"/>
        </w:rPr>
        <w:t>G</w:t>
      </w:r>
      <w:r>
        <w:rPr>
          <w:rFonts w:ascii="aRial" w:hAnsi="aRial"/>
          <w:sz w:val="20"/>
          <w:szCs w:val="20"/>
        </w:rPr>
        <w:t>σ</w:t>
      </w:r>
      <w:r>
        <w:rPr>
          <w:rFonts w:ascii="aRial" w:hAnsi="aRial"/>
          <w:sz w:val="20"/>
          <w:szCs w:val="20"/>
          <w:vertAlign w:val="subscript"/>
        </w:rPr>
        <w:t>uE</w:t>
      </w:r>
      <w:r>
        <w:rPr>
          <w:rFonts w:ascii="aRial" w:hAnsi="aRial"/>
          <w:sz w:val="20"/>
          <w:szCs w:val="20"/>
          <w:vertAlign w:val="superscript"/>
        </w:rPr>
        <w:t>2</w:t>
      </w:r>
    </w:p>
    <w:p>
      <w:pPr>
        <w:pStyle w:val="Normal"/>
        <w:spacing w:lineRule="auto" w:line="360"/>
        <w:jc w:val="center"/>
        <w:rPr>
          <w:rFonts w:ascii="aRial" w:hAnsi="aRial"/>
          <w:sz w:val="20"/>
          <w:szCs w:val="20"/>
        </w:rPr>
      </w:pPr>
      <w:r>
        <w:rPr>
          <w:rFonts w:ascii="aRial" w:hAnsi="aRial"/>
          <w:sz w:val="20"/>
          <w:szCs w:val="20"/>
        </w:rPr>
        <w:t>Var(</w:t>
      </w:r>
      <w:r>
        <w:rPr>
          <w:rFonts w:ascii="aRial" w:hAnsi="aRial"/>
          <w:i/>
          <w:iCs/>
          <w:sz w:val="20"/>
          <w:szCs w:val="20"/>
        </w:rPr>
        <w:t>e</w:t>
      </w:r>
      <w:r>
        <w:rPr>
          <w:rFonts w:ascii="aRial" w:hAnsi="aRial"/>
          <w:sz w:val="20"/>
          <w:szCs w:val="20"/>
        </w:rPr>
        <w:t xml:space="preserve">) = </w:t>
      </w:r>
      <w:r>
        <w:rPr>
          <w:rFonts w:ascii="aRial" w:hAnsi="aRial"/>
          <w:i/>
          <w:iCs/>
          <w:sz w:val="20"/>
          <w:szCs w:val="20"/>
        </w:rPr>
        <w:t>I</w:t>
      </w:r>
      <w:r>
        <w:rPr>
          <w:rFonts w:ascii="aRial" w:hAnsi="aRial"/>
          <w:sz w:val="20"/>
          <w:szCs w:val="20"/>
        </w:rPr>
        <w:t>σ</w:t>
      </w:r>
      <w:r>
        <w:rPr>
          <w:rFonts w:ascii="aRial" w:hAnsi="aRial"/>
          <w:sz w:val="20"/>
          <w:szCs w:val="20"/>
          <w:vertAlign w:val="subscript"/>
        </w:rPr>
        <w:t>e</w:t>
      </w:r>
      <w:r>
        <w:rPr>
          <w:rFonts w:ascii="aRial" w:hAnsi="aRial"/>
          <w:sz w:val="20"/>
          <w:szCs w:val="20"/>
          <w:vertAlign w:val="superscript"/>
        </w:rPr>
        <w:t>2</w:t>
      </w:r>
    </w:p>
    <w:p>
      <w:pPr>
        <w:pStyle w:val="Normal"/>
        <w:spacing w:lineRule="auto" w:line="360"/>
        <w:rPr>
          <w:rFonts w:ascii="aRial" w:hAnsi="aRial"/>
          <w:sz w:val="20"/>
          <w:szCs w:val="20"/>
        </w:rPr>
      </w:pPr>
      <w:r>
        <w:rPr>
          <w:rFonts w:ascii="aRial" w:hAnsi="aRial"/>
          <w:sz w:val="20"/>
          <w:szCs w:val="20"/>
        </w:rPr>
        <w:t xml:space="preserve">in which the vector </w:t>
      </w:r>
      <w:r>
        <w:rPr>
          <w:rFonts w:ascii="aRial" w:hAnsi="aRial"/>
          <w:b/>
          <w:bCs/>
          <w:sz w:val="20"/>
          <w:szCs w:val="20"/>
        </w:rPr>
        <w:t xml:space="preserve">y </w:t>
      </w:r>
      <w:r>
        <w:rPr>
          <w:rFonts w:ascii="aRial" w:hAnsi="aRial"/>
          <w:sz w:val="20"/>
          <w:szCs w:val="20"/>
        </w:rPr>
        <w:t xml:space="preserve">represents the individual plant observations of a given trait and </w:t>
      </w:r>
      <w:r>
        <w:rPr>
          <w:rFonts w:ascii="aRial" w:hAnsi="aRial"/>
          <w:i/>
          <w:iCs/>
          <w:sz w:val="20"/>
          <w:szCs w:val="20"/>
        </w:rPr>
        <w:t>Z</w:t>
      </w:r>
      <w:r>
        <w:rPr>
          <w:rFonts w:ascii="aRial" w:hAnsi="aRial"/>
          <w:sz w:val="20"/>
          <w:szCs w:val="20"/>
        </w:rPr>
        <w:t xml:space="preserve"> the design matrices associating trait observations with random factors. Random factors include </w:t>
      </w:r>
      <w:r>
        <w:rPr>
          <w:rFonts w:ascii="aRial" w:hAnsi="aRial"/>
          <w:i/>
          <w:iCs/>
          <w:sz w:val="20"/>
          <w:szCs w:val="20"/>
        </w:rPr>
        <w:t>u,</w:t>
      </w:r>
      <w:r>
        <w:rPr>
          <w:rFonts w:ascii="aRial" w:hAnsi="aRial"/>
          <w:sz w:val="20"/>
          <w:szCs w:val="20"/>
        </w:rPr>
        <w:t xml:space="preserve"> the whole genome additive genetic (G) effect, </w:t>
      </w:r>
      <w:r>
        <w:rPr>
          <w:rFonts w:ascii="aRial" w:hAnsi="aRial"/>
          <w:i/>
          <w:iCs/>
          <w:sz w:val="20"/>
          <w:szCs w:val="20"/>
        </w:rPr>
        <w:t>l</w:t>
      </w:r>
      <w:r>
        <w:rPr>
          <w:rFonts w:ascii="aRial" w:hAnsi="aRial"/>
          <w:sz w:val="20"/>
          <w:szCs w:val="20"/>
        </w:rPr>
        <w:t xml:space="preserve">, the effect of each location (E), </w:t>
      </w:r>
      <w:r>
        <w:rPr>
          <w:rFonts w:ascii="aRial" w:hAnsi="aRial"/>
          <w:i/>
          <w:iCs/>
          <w:sz w:val="20"/>
          <w:szCs w:val="20"/>
        </w:rPr>
        <w:t>ul</w:t>
      </w:r>
      <w:r>
        <w:rPr>
          <w:rFonts w:ascii="aRial" w:hAnsi="aRial"/>
          <w:sz w:val="20"/>
          <w:szCs w:val="20"/>
        </w:rPr>
        <w:t xml:space="preserve">, the GxE effect, and </w:t>
      </w:r>
      <w:r>
        <w:rPr>
          <w:rFonts w:ascii="aRial" w:hAnsi="aRial"/>
          <w:i/>
          <w:iCs/>
          <w:sz w:val="20"/>
          <w:szCs w:val="20"/>
        </w:rPr>
        <w:t>e</w:t>
      </w:r>
      <w:r>
        <w:rPr>
          <w:rFonts w:ascii="aRial" w:hAnsi="aRial"/>
          <w:sz w:val="20"/>
          <w:szCs w:val="20"/>
        </w:rPr>
        <w:t xml:space="preserve">, the residual. Matrix G is the whole genomic relationship matrix. I are rank-y identity matrices. </w:t>
      </w:r>
    </w:p>
    <w:p>
      <w:pPr>
        <w:pStyle w:val="Normal"/>
        <w:spacing w:lineRule="auto" w:line="360"/>
        <w:ind w:left="0" w:right="0" w:hanging="0"/>
        <w:rPr>
          <w:rFonts w:ascii="aRial" w:hAnsi="aRial"/>
          <w:sz w:val="20"/>
          <w:szCs w:val="20"/>
        </w:rPr>
      </w:pPr>
      <w:r>
        <w:rPr>
          <w:rFonts w:ascii="aRial" w:hAnsi="aRial"/>
          <w:sz w:val="20"/>
          <w:szCs w:val="20"/>
        </w:rPr>
        <w:tab/>
        <w:t>These models were run for each phenotype as a function of environmental cues. This resulted in 135 models: three sets of populations (the Gulf, Midwest, and Both subpopulations) for three garden sets (All, North, and Texas gardens) and 15 phenotypes (seven green-up functions, and eight flowering functions).</w:t>
      </w:r>
    </w:p>
    <w:p>
      <w:pPr>
        <w:pStyle w:val="Normal"/>
        <w:spacing w:lineRule="auto" w:line="360"/>
        <w:ind w:left="0" w:right="0" w:hanging="0"/>
        <w:rPr>
          <w:rFonts w:ascii="aRial" w:hAnsi="aRial"/>
          <w:sz w:val="20"/>
          <w:szCs w:val="20"/>
        </w:rPr>
      </w:pPr>
      <w:r>
        <w:rPr>
          <w:rFonts w:ascii="aRial" w:hAnsi="aRial"/>
          <w:sz w:val="20"/>
          <w:szCs w:val="20"/>
        </w:rPr>
      </w:r>
    </w:p>
    <w:p>
      <w:pPr>
        <w:pStyle w:val="Normal"/>
        <w:spacing w:lineRule="auto" w:line="360"/>
        <w:ind w:left="0" w:right="0" w:hanging="0"/>
        <w:rPr>
          <w:rFonts w:ascii="aRial" w:hAnsi="aRial"/>
          <w:b/>
          <w:b/>
          <w:bCs/>
          <w:sz w:val="20"/>
          <w:szCs w:val="20"/>
        </w:rPr>
      </w:pPr>
      <w:r>
        <w:rPr>
          <w:rFonts w:ascii="aRial" w:hAnsi="aRial"/>
          <w:b/>
          <w:bCs/>
          <w:sz w:val="20"/>
          <w:szCs w:val="20"/>
        </w:rPr>
        <w:t xml:space="preserve">Section S5. </w:t>
      </w:r>
      <w:r>
        <w:rPr>
          <w:rFonts w:eastAsia="Arial Unicode MS" w:ascii="aRial" w:hAnsi="aRial"/>
          <w:b w:val="false"/>
          <w:bCs w:val="false"/>
          <w:i/>
          <w:iCs/>
          <w:sz w:val="20"/>
          <w:szCs w:val="20"/>
        </w:rPr>
        <w:t>Multivariate adaptive shrinkage</w:t>
      </w:r>
    </w:p>
    <w:p>
      <w:pPr>
        <w:pStyle w:val="Normal"/>
        <w:spacing w:lineRule="auto" w:line="360"/>
        <w:rPr>
          <w:rFonts w:ascii="aRial" w:hAnsi="aRial"/>
          <w:sz w:val="20"/>
          <w:szCs w:val="20"/>
        </w:rPr>
      </w:pPr>
      <w:r>
        <w:rPr>
          <w:rFonts w:ascii="aRial" w:hAnsi="aRial"/>
          <w:sz w:val="20"/>
          <w:szCs w:val="20"/>
        </w:rPr>
        <w:tab/>
        <w:t xml:space="preserve">To evaluate the prevalence and kinds of covariance patterns of SNP effects across our eight common gardens, we used multivariate adaptive shrinkage (mash) on SNP effect estimates from the diversity panel </w:t>
      </w:r>
      <w:r>
        <w:rPr>
          <w:rFonts w:ascii="aRial" w:hAnsi="aRial"/>
          <w:sz w:val="20"/>
          <w:szCs w:val="20"/>
        </w:rPr>
        <w:t>(4)</w:t>
      </w:r>
      <w:r>
        <w:rPr>
          <w:rFonts w:ascii="aRial" w:hAnsi="aRial"/>
          <w:sz w:val="20"/>
          <w:szCs w:val="20"/>
        </w:rPr>
        <w:t>. Mash is a statistical method that allows estimation and comparison of many effects jointly across many different conditions; it improves on previous methods by allowing arbitrary correlations in effect sizes among conditions. To this end, mash allows the user to include hypothesis-based covariance matrices, specifies some ‘</w:t>
      </w:r>
      <w:r>
        <w:rPr>
          <w:rFonts w:eastAsia="Noto Serif CJK SC" w:ascii="aRial" w:hAnsi="aRial"/>
          <w:sz w:val="20"/>
          <w:szCs w:val="20"/>
        </w:rPr>
        <w:t>canonical</w:t>
      </w:r>
      <w:r>
        <w:rPr>
          <w:rFonts w:ascii="aRial" w:hAnsi="aRial"/>
          <w:sz w:val="20"/>
          <w:szCs w:val="20"/>
        </w:rPr>
        <w:t xml:space="preserve">’ covariance matrices with simple patterns of effects, </w:t>
      </w:r>
      <w:r>
        <w:rPr>
          <w:rFonts w:ascii="aRial" w:hAnsi="aRial"/>
          <w:sz w:val="20"/>
          <w:szCs w:val="20"/>
        </w:rPr>
        <w:t xml:space="preserve">such as equal effects in all conditions or an effect in a single condition, </w:t>
      </w:r>
      <w:r>
        <w:rPr>
          <w:rFonts w:ascii="aRial" w:hAnsi="aRial"/>
          <w:sz w:val="20"/>
          <w:szCs w:val="20"/>
        </w:rPr>
        <w:t xml:space="preserve">and also generates ‘data-driven’ covariance matrices from patterns of effects in the data. Then, mash assigns mixture proportions for each SNP onto each provided covariance matrix using maximum likelihood. Finally, mash uses Bayes’ theorem to shrink effects for each SNP towards the set of covariance matrices in accordance to their mixture proportions. For example, a SNP affecting flowering may have a high mixture proportion, or weight, on a covariance matrix created from a specific environmental cue. In that case, we can infer that the effect of that SNP on flowering is caused by a response to or interaction with that environmental cue. These user-specified and data-driven covariance matrices are an important advantage mash offers for studying patterns of GxE: the user-specified covariance matrices allow hypothesis testing of specific environmental drivers for each SNP, while the data-driven covariance matrices allow exploration of additional unexplained patterns of covariation. </w:t>
      </w:r>
    </w:p>
    <w:p>
      <w:pPr>
        <w:pStyle w:val="Normal"/>
        <w:spacing w:lineRule="auto" w:line="360"/>
        <w:rPr>
          <w:rFonts w:ascii="aRial" w:hAnsi="aRial"/>
          <w:sz w:val="20"/>
          <w:szCs w:val="20"/>
        </w:rPr>
      </w:pPr>
      <w:r>
        <w:rPr>
          <w:rFonts w:ascii="aRial" w:hAnsi="aRial"/>
          <w:sz w:val="20"/>
          <w:szCs w:val="20"/>
        </w:rPr>
        <w:tab/>
        <w:t xml:space="preserve">We first </w:t>
      </w:r>
      <w:r>
        <w:rPr>
          <w:rFonts w:eastAsia="Arial Unicode MS" w:ascii="aRial" w:hAnsi="aRial"/>
          <w:sz w:val="20"/>
          <w:szCs w:val="20"/>
        </w:rPr>
        <w:t xml:space="preserve">conducted univariate GWAS at each common garden for green-up and flowering date, then analyzed the allelic effects for the top 19K unlinked SNPs per univariate GWAS using mash, as in </w:t>
      </w:r>
      <w:r>
        <w:rPr>
          <w:rFonts w:eastAsia="Arial Unicode MS" w:ascii="aRial" w:hAnsi="aRial"/>
          <w:sz w:val="20"/>
          <w:szCs w:val="20"/>
        </w:rPr>
        <w:t>(5)</w:t>
      </w:r>
      <w:r>
        <w:rPr>
          <w:rFonts w:eastAsia="Arial Unicode MS" w:ascii="aRial" w:hAnsi="aRial"/>
          <w:sz w:val="20"/>
          <w:szCs w:val="20"/>
        </w:rPr>
        <w:t xml:space="preserve">. To allow for the possibility that different subpopulations had different strengths of connection between our phenotypes and genotypes </w:t>
      </w:r>
      <w:r>
        <w:rPr>
          <w:rFonts w:eastAsia="Arial Unicode MS" w:ascii="aRial" w:hAnsi="aRial"/>
          <w:sz w:val="20"/>
          <w:szCs w:val="20"/>
        </w:rPr>
        <w:t>(6)</w:t>
      </w:r>
      <w:r>
        <w:rPr>
          <w:rFonts w:eastAsia="Arial Unicode MS" w:ascii="aRial" w:hAnsi="aRial"/>
          <w:sz w:val="20"/>
          <w:szCs w:val="20"/>
        </w:rPr>
        <w:t xml:space="preserve">, we conducted three sets of genetic analyses: on Gulf and Midwest genotypes separately, and on both subpopulations together (hereafter ‘Both’ subpopulations). Only SNPs with ≤ 20% missing data and minor allele frequencies &gt; 0.05 were </w:t>
      </w:r>
      <w:r>
        <w:rPr>
          <w:rFonts w:eastAsia="Arial Unicode MS" w:ascii="aRial" w:hAnsi="aRial"/>
          <w:sz w:val="20"/>
          <w:szCs w:val="20"/>
        </w:rPr>
        <w:t>used in univariate GWAS</w:t>
      </w:r>
      <w:r>
        <w:rPr>
          <w:rFonts w:eastAsia="Arial Unicode MS" w:ascii="aRial" w:hAnsi="aRial"/>
          <w:sz w:val="20"/>
          <w:szCs w:val="20"/>
        </w:rPr>
        <w:t xml:space="preserve">, resulting in 8.8 million SNPs retained for the Midwest subpopulation, 10.3 million SNPs retained for the Gulf subpopulation, and 12.3 million SNPs retained for Both subpopulations. </w:t>
      </w:r>
      <w:r>
        <w:rPr>
          <w:rFonts w:eastAsia="Arial Unicode MS" w:ascii="aRial" w:hAnsi="aRial"/>
          <w:sz w:val="20"/>
          <w:szCs w:val="20"/>
        </w:rPr>
        <w:t xml:space="preserve">Then, we created a set of ‘random’ markers to account </w:t>
      </w:r>
      <w:r>
        <w:rPr>
          <w:rFonts w:eastAsia="Arial Unicode MS" w:ascii="aRial" w:hAnsi="aRial"/>
          <w:sz w:val="20"/>
          <w:szCs w:val="20"/>
        </w:rPr>
        <w:t xml:space="preserve">for correlation in effects using a set of </w:t>
      </w:r>
      <w:r>
        <w:rPr>
          <w:rFonts w:eastAsia="Arial Unicode MS" w:ascii="aRial" w:hAnsi="aRial"/>
          <w:sz w:val="20"/>
          <w:szCs w:val="20"/>
        </w:rPr>
        <w:t>19K</w:t>
      </w:r>
      <w:r>
        <w:rPr>
          <w:rFonts w:eastAsia="Arial Unicode MS" w:ascii="aRial" w:hAnsi="aRial"/>
          <w:sz w:val="20"/>
          <w:szCs w:val="20"/>
        </w:rPr>
        <w:t xml:space="preserve"> relatively unlinked </w:t>
      </w:r>
      <w:r>
        <w:rPr>
          <w:rFonts w:eastAsia="Arial Unicode MS" w:ascii="aRial" w:hAnsi="aRial"/>
          <w:sz w:val="20"/>
          <w:szCs w:val="20"/>
        </w:rPr>
        <w:t>(r</w:t>
      </w:r>
      <w:r>
        <w:rPr>
          <w:rFonts w:eastAsia="Arial Unicode MS" w:ascii="aRial" w:hAnsi="aRial"/>
          <w:sz w:val="20"/>
          <w:szCs w:val="20"/>
          <w:vertAlign w:val="superscript"/>
        </w:rPr>
        <w:t>2</w:t>
      </w:r>
      <w:r>
        <w:rPr>
          <w:rFonts w:eastAsia="Arial Unicode MS" w:ascii="aRial" w:hAnsi="aRial"/>
          <w:sz w:val="20"/>
          <w:szCs w:val="20"/>
        </w:rPr>
        <w:t xml:space="preserve"> &lt; 0.2) </w:t>
      </w:r>
      <w:r>
        <w:rPr>
          <w:rFonts w:eastAsia="Arial Unicode MS" w:ascii="aRial" w:hAnsi="aRial"/>
          <w:sz w:val="20"/>
          <w:szCs w:val="20"/>
        </w:rPr>
        <w:t xml:space="preserve">markers. </w:t>
      </w:r>
      <w:r>
        <w:rPr>
          <w:rFonts w:eastAsia="Arial Unicode MS" w:ascii="aRial" w:hAnsi="aRial"/>
          <w:sz w:val="20"/>
          <w:szCs w:val="20"/>
        </w:rPr>
        <w:t>Next, we created a set of ‘strong’ markers by selecting 19K SNPs w</w:t>
      </w:r>
      <w:r>
        <w:rPr>
          <w:rFonts w:eastAsia="Arial Unicode MS" w:ascii="aRial" w:hAnsi="aRial"/>
          <w:sz w:val="20"/>
          <w:szCs w:val="20"/>
        </w:rPr>
        <w:t>ith the largest -log10(</w:t>
      </w:r>
      <w:r>
        <w:rPr>
          <w:rFonts w:eastAsia="Arial Unicode MS" w:ascii="aRial" w:hAnsi="aRial"/>
          <w:i/>
          <w:iCs/>
          <w:sz w:val="20"/>
          <w:szCs w:val="20"/>
        </w:rPr>
        <w:t>p-value</w:t>
      </w:r>
      <w:r>
        <w:rPr>
          <w:rFonts w:eastAsia="Arial Unicode MS" w:ascii="aRial" w:hAnsi="aRial"/>
          <w:sz w:val="20"/>
          <w:szCs w:val="20"/>
        </w:rPr>
        <w:t xml:space="preserve">) in any condition in the univariate GWAS, </w:t>
      </w:r>
      <w:r>
        <w:rPr>
          <w:rFonts w:eastAsia="Arial Unicode MS" w:ascii="aRial" w:hAnsi="aRial"/>
          <w:sz w:val="20"/>
          <w:szCs w:val="20"/>
        </w:rPr>
        <w:t xml:space="preserve">out of all markers unlinked at (r2 &lt; 0.2), which represented </w:t>
      </w:r>
      <w:r>
        <w:rPr>
          <w:rFonts w:eastAsia="Arial Unicode MS" w:ascii="aRial" w:hAnsi="aRial"/>
          <w:sz w:val="20"/>
          <w:szCs w:val="20"/>
        </w:rPr>
        <w:t xml:space="preserve">the </w:t>
      </w:r>
      <w:r>
        <w:rPr>
          <w:rFonts w:eastAsia="Arial Unicode MS" w:ascii="aRial" w:hAnsi="aRial"/>
          <w:sz w:val="20"/>
          <w:szCs w:val="20"/>
        </w:rPr>
        <w:t xml:space="preserve">SNP with the </w:t>
      </w:r>
      <w:r>
        <w:rPr>
          <w:rFonts w:eastAsia="Arial Unicode MS" w:ascii="aRial" w:hAnsi="aRial"/>
          <w:sz w:val="20"/>
          <w:szCs w:val="20"/>
        </w:rPr>
        <w:t xml:space="preserve">strongest effect in </w:t>
      </w:r>
      <w:r>
        <w:rPr>
          <w:rFonts w:eastAsia="Arial Unicode MS" w:ascii="aRial" w:hAnsi="aRial"/>
          <w:sz w:val="20"/>
          <w:szCs w:val="20"/>
        </w:rPr>
        <w:t>the 19K</w:t>
      </w:r>
      <w:r>
        <w:rPr>
          <w:rFonts w:eastAsia="Arial Unicode MS" w:ascii="aRial" w:hAnsi="aRial"/>
          <w:sz w:val="20"/>
          <w:szCs w:val="20"/>
        </w:rPr>
        <w:t xml:space="preserve"> LD block</w:t>
      </w:r>
      <w:r>
        <w:rPr>
          <w:rFonts w:eastAsia="Arial Unicode MS" w:ascii="aRial" w:hAnsi="aRial"/>
          <w:sz w:val="20"/>
          <w:szCs w:val="20"/>
        </w:rPr>
        <w:t>s with the largest univariate effects</w:t>
      </w:r>
      <w:r>
        <w:rPr>
          <w:rFonts w:eastAsia="Arial Unicode MS" w:ascii="aRial" w:hAnsi="aRial"/>
          <w:sz w:val="20"/>
          <w:szCs w:val="20"/>
        </w:rPr>
        <w:t xml:space="preserve">. We used the ‘pvdiv_standard_run()’ function of the </w:t>
      </w:r>
      <w:r>
        <w:rPr>
          <w:rFonts w:ascii="aRial" w:hAnsi="aRial"/>
          <w:sz w:val="20"/>
          <w:szCs w:val="20"/>
        </w:rPr>
        <w:t xml:space="preserve">switchgrassGWAS R package </w:t>
      </w:r>
      <w:r>
        <w:rPr>
          <w:rFonts w:eastAsia="Arial Unicode MS" w:ascii="aRial" w:hAnsi="aRial"/>
          <w:sz w:val="20"/>
          <w:szCs w:val="20"/>
        </w:rPr>
        <w:t xml:space="preserve">(https://github.com/Alice-MacQueen/switchgrassGWAS) to conduct GWAS on genotypes from the Midwest, Gulf, and Both subpopulations, used the ‘pvdiv_bigsnp2mashr()’ function to convert univariate GWAS output to the matrices of effects and standard errors needed for mash, then used the ‘mash_standard_run()’ function to conduct mash, </w:t>
      </w:r>
      <w:r>
        <w:rPr>
          <w:rFonts w:eastAsia="Arial Unicode MS" w:ascii="aRial" w:hAnsi="aRial"/>
          <w:sz w:val="20"/>
          <w:szCs w:val="20"/>
        </w:rPr>
        <w:t xml:space="preserve">again specifying </w:t>
      </w:r>
      <w:r>
        <w:rPr>
          <w:rFonts w:eastAsia="Arial Unicode MS" w:ascii="aRial" w:hAnsi="aRial"/>
          <w:sz w:val="20"/>
          <w:szCs w:val="20"/>
        </w:rPr>
        <w:t xml:space="preserve">distinct sets of hypothesis-based covariance matrices for green-up and flowering, but the same set of matrices for all genetic subgroups. </w:t>
      </w:r>
    </w:p>
    <w:p>
      <w:pPr>
        <w:pStyle w:val="Normal"/>
        <w:spacing w:lineRule="auto" w:line="360"/>
        <w:rPr>
          <w:rFonts w:ascii="aRial" w:hAnsi="aRial" w:eastAsia="Arial Unicode MS"/>
          <w:sz w:val="20"/>
          <w:szCs w:val="20"/>
        </w:rPr>
      </w:pPr>
      <w:r>
        <w:rPr>
          <w:rFonts w:eastAsia="Arial Unicode MS" w:ascii="aRial" w:hAnsi="aRial"/>
          <w:sz w:val="20"/>
          <w:szCs w:val="20"/>
        </w:rPr>
      </w:r>
    </w:p>
    <w:p>
      <w:pPr>
        <w:pStyle w:val="Normal"/>
        <w:spacing w:lineRule="auto" w:line="360"/>
        <w:ind w:left="0" w:right="0" w:hanging="0"/>
        <w:rPr>
          <w:rFonts w:ascii="aRial" w:hAnsi="aRial"/>
          <w:b/>
          <w:b/>
          <w:bCs/>
          <w:sz w:val="20"/>
          <w:szCs w:val="20"/>
        </w:rPr>
      </w:pPr>
      <w:r>
        <w:rPr>
          <w:rFonts w:eastAsia="Arial Unicode MS" w:ascii="aRial" w:hAnsi="aRial"/>
          <w:b/>
          <w:bCs/>
          <w:sz w:val="20"/>
          <w:szCs w:val="20"/>
        </w:rPr>
        <w:t xml:space="preserve">Section S6. </w:t>
      </w:r>
      <w:r>
        <w:rPr>
          <w:rFonts w:eastAsia="Arial Unicode MS" w:ascii="aRial" w:hAnsi="aRial"/>
          <w:b w:val="false"/>
          <w:bCs w:val="false"/>
          <w:i/>
          <w:iCs/>
          <w:sz w:val="20"/>
          <w:szCs w:val="20"/>
        </w:rPr>
        <w:t>Outbred pseudo-F2 mapping population and Quantitative Trait Locus mapping</w:t>
      </w:r>
    </w:p>
    <w:p>
      <w:pPr>
        <w:pStyle w:val="Normal"/>
        <w:spacing w:lineRule="auto" w:line="360"/>
        <w:rPr>
          <w:rFonts w:ascii="aRial" w:hAnsi="aRial"/>
          <w:sz w:val="20"/>
          <w:szCs w:val="20"/>
        </w:rPr>
      </w:pPr>
      <w:r>
        <w:rPr>
          <w:rFonts w:eastAsia="Arial Unicode MS" w:ascii="aRial" w:hAnsi="aRial"/>
          <w:b w:val="false"/>
          <w:bCs w:val="false"/>
          <w:i w:val="false"/>
          <w:iCs w:val="false"/>
          <w:sz w:val="20"/>
          <w:szCs w:val="20"/>
        </w:rPr>
        <w:tab/>
        <w:t xml:space="preserve">To confirm candidate genomic regions and patterns of allelic effects found in the diversity panel, we analyzed flowering in an outbred pseudo-F2 cross between four </w:t>
      </w:r>
      <w:r>
        <w:rPr>
          <w:rFonts w:eastAsia="Arial Unicode MS" w:ascii="aRial" w:hAnsi="aRial"/>
          <w:b w:val="false"/>
          <w:bCs w:val="false"/>
          <w:i w:val="false"/>
          <w:iCs w:val="false"/>
          <w:sz w:val="20"/>
          <w:szCs w:val="20"/>
        </w:rPr>
        <w:t>grandparents</w:t>
      </w:r>
      <w:r>
        <w:rPr>
          <w:rFonts w:eastAsia="Arial Unicode MS" w:ascii="aRial" w:hAnsi="aRial"/>
          <w:b w:val="false"/>
          <w:bCs w:val="false"/>
          <w:i w:val="false"/>
          <w:iCs w:val="false"/>
          <w:sz w:val="20"/>
          <w:szCs w:val="20"/>
        </w:rPr>
        <w:t xml:space="preserve">, two Midwest and two Gulf individuals. The formation of this mapping population has been described previously </w:t>
      </w:r>
      <w:r>
        <w:rPr>
          <w:rFonts w:eastAsia="Arial Unicode MS" w:ascii="aRial" w:hAnsi="aRial"/>
          <w:b w:val="false"/>
          <w:bCs w:val="false"/>
          <w:i w:val="false"/>
          <w:iCs w:val="false"/>
          <w:sz w:val="20"/>
          <w:szCs w:val="20"/>
        </w:rPr>
        <w:t>(7)</w:t>
      </w:r>
      <w:r>
        <w:rPr>
          <w:rFonts w:eastAsia="Arial Unicode MS" w:ascii="aRial" w:hAnsi="aRial"/>
          <w:b w:val="false"/>
          <w:bCs w:val="false"/>
          <w:i w:val="false"/>
          <w:iCs w:val="false"/>
          <w:sz w:val="20"/>
          <w:szCs w:val="20"/>
        </w:rPr>
        <w:t xml:space="preserve">. The parents of this cross were DAC, an early flowering Midwest individual, VS16, a late flowering Midwest individual, AP13, an early flowering Gulf individual, and WBC, a late flowering Gulf individual. We made F1 crosses of the two early flowering genotypes, AP13xDAC, and the two late flowering genotypes, WBCxVS16. We then clonally propagated and planted the four parents, the two F1 genotypes (AP13xDAC, and VS16xWBC), and 801 F2 genotypes at eight field sites </w:t>
      </w:r>
      <w:r>
        <w:rPr>
          <w:rFonts w:eastAsia="Arial Unicode MS" w:ascii="aRial" w:hAnsi="aRial"/>
          <w:b w:val="false"/>
          <w:bCs/>
          <w:i w:val="false"/>
          <w:iCs w:val="false"/>
          <w:sz w:val="20"/>
          <w:szCs w:val="20"/>
        </w:rPr>
        <w:t>in May-July of 2015</w:t>
      </w:r>
      <w:r>
        <w:rPr>
          <w:rFonts w:eastAsia="Arial Unicode MS" w:ascii="aRial" w:hAnsi="aRial"/>
          <w:b w:val="false"/>
          <w:bCs w:val="false"/>
          <w:i w:val="false"/>
          <w:iCs w:val="false"/>
          <w:sz w:val="20"/>
          <w:szCs w:val="20"/>
        </w:rPr>
        <w:t xml:space="preserve">. </w:t>
      </w:r>
      <w:r>
        <w:rPr>
          <w:rFonts w:eastAsia="Arial Unicode MS" w:ascii="aRial" w:hAnsi="aRial"/>
          <w:b w:val="false"/>
          <w:bCs/>
          <w:i w:val="false"/>
          <w:iCs w:val="false"/>
          <w:sz w:val="20"/>
          <w:szCs w:val="20"/>
        </w:rPr>
        <w:t xml:space="preserve">To be directly comparable to the diversity panel data, only 2019 phenology data from the pseudo-F2 cross from the same eight common garden sites were used here. </w:t>
      </w:r>
    </w:p>
    <w:p>
      <w:pPr>
        <w:pStyle w:val="Normal"/>
        <w:spacing w:lineRule="auto" w:line="360"/>
        <w:rPr>
          <w:rFonts w:ascii="aRial" w:hAnsi="aRial"/>
          <w:sz w:val="20"/>
          <w:szCs w:val="20"/>
        </w:rPr>
      </w:pPr>
      <w:r>
        <w:rPr>
          <w:rFonts w:eastAsia="Arial Unicode MS" w:cs="Arial" w:ascii="aRial" w:hAnsi="aRial"/>
          <w:b w:val="false"/>
          <w:bCs w:val="false"/>
          <w:i w:val="false"/>
          <w:iCs w:val="false"/>
          <w:sz w:val="20"/>
          <w:szCs w:val="20"/>
          <w:u w:val="none"/>
        </w:rPr>
        <w:tab/>
        <w:t xml:space="preserve">Details on the genetic map construction, map polishing and fine-scale reordering can be accessed on </w:t>
      </w:r>
      <w:hyperlink r:id="rId5">
        <w:r>
          <w:rPr>
            <w:rStyle w:val="InternetLink"/>
            <w:rFonts w:eastAsia="Arial Unicode MS" w:cs="Arial" w:ascii="aRial" w:hAnsi="aRial"/>
            <w:b w:val="false"/>
            <w:bCs w:val="false"/>
            <w:i w:val="false"/>
            <w:iCs w:val="false"/>
            <w:sz w:val="20"/>
            <w:szCs w:val="20"/>
          </w:rPr>
          <w:t>https://datadryad.org/stash/dataset/doi:10.5061/dryad.ghx3ffbjv</w:t>
        </w:r>
      </w:hyperlink>
      <w:r>
        <w:rPr>
          <w:rFonts w:eastAsia="Arial Unicode MS" w:cs="Arial" w:ascii="aRial" w:hAnsi="aRial"/>
          <w:b w:val="false"/>
          <w:bCs w:val="false"/>
          <w:i w:val="false"/>
          <w:iCs w:val="false"/>
          <w:sz w:val="20"/>
          <w:szCs w:val="20"/>
          <w:u w:val="none"/>
        </w:rPr>
        <w:t xml:space="preserve">. </w:t>
      </w:r>
      <w:r>
        <w:rPr>
          <w:rFonts w:eastAsia="Arial Unicode MS" w:cs="Arial" w:ascii="aRial" w:hAnsi="aRial"/>
          <w:b w:val="false"/>
          <w:bCs/>
          <w:i w:val="false"/>
          <w:iCs w:val="false"/>
          <w:sz w:val="20"/>
          <w:szCs w:val="20"/>
          <w:u w:val="none"/>
        </w:rPr>
        <w:t xml:space="preserve">QTL mapping was conducted with R/qtl2 </w:t>
      </w:r>
      <w:r>
        <w:rPr>
          <w:rFonts w:eastAsia="Arial Unicode MS" w:cs="Arial" w:ascii="aRial" w:hAnsi="aRial"/>
          <w:b w:val="false"/>
          <w:bCs/>
          <w:i w:val="false"/>
          <w:iCs w:val="false"/>
          <w:sz w:val="20"/>
          <w:szCs w:val="20"/>
          <w:u w:val="none"/>
        </w:rPr>
        <w:t>(8)</w:t>
      </w:r>
      <w:r>
        <w:rPr>
          <w:rFonts w:eastAsia="Arial Unicode MS" w:cs="Arial" w:ascii="aRial" w:hAnsi="aRial"/>
          <w:b w:val="false"/>
          <w:bCs/>
          <w:i w:val="false"/>
          <w:iCs w:val="false"/>
          <w:sz w:val="20"/>
          <w:szCs w:val="20"/>
          <w:u w:val="none"/>
        </w:rPr>
        <w:t xml:space="preserve">. We performed a genome scan with a linear mixed model that accounts for the relationships among individuals and for environmental covariates (i.e., field sites). The full model can be expressed as: phenotype = </w:t>
      </w:r>
      <w:r>
        <w:rPr>
          <w:rFonts w:eastAsia="Arial Unicode MS" w:cs="Calibri" w:ascii="aRial" w:hAnsi="aRial"/>
          <w:b w:val="false"/>
          <w:bCs/>
          <w:i w:val="false"/>
          <w:iCs w:val="false"/>
          <w:sz w:val="20"/>
          <w:szCs w:val="20"/>
          <w:u w:val="none"/>
        </w:rPr>
        <w:t>µ</w:t>
      </w:r>
      <w:r>
        <w:rPr>
          <w:rFonts w:eastAsia="Arial Unicode MS" w:cs="Arial" w:ascii="aRial" w:hAnsi="aRial"/>
          <w:b w:val="false"/>
          <w:bCs/>
          <w:i w:val="false"/>
          <w:iCs w:val="false"/>
          <w:sz w:val="20"/>
          <w:szCs w:val="20"/>
          <w:u w:val="none"/>
        </w:rPr>
        <w:t xml:space="preserve"> + QTL + E + QTLxE + kinship + e, where </w:t>
      </w:r>
      <w:r>
        <w:rPr>
          <w:rFonts w:eastAsia="Arial Unicode MS" w:cs="Calibri" w:ascii="aRial" w:hAnsi="aRial"/>
          <w:b w:val="false"/>
          <w:bCs/>
          <w:i w:val="false"/>
          <w:iCs w:val="false"/>
          <w:sz w:val="20"/>
          <w:szCs w:val="20"/>
          <w:u w:val="none"/>
        </w:rPr>
        <w:t>µ</w:t>
      </w:r>
      <w:r>
        <w:rPr>
          <w:rFonts w:eastAsia="Arial Unicode MS" w:cs="Arial" w:ascii="aRial" w:hAnsi="aRial"/>
          <w:b w:val="false"/>
          <w:bCs/>
          <w:i w:val="false"/>
          <w:iCs w:val="false"/>
          <w:sz w:val="20"/>
          <w:szCs w:val="20"/>
          <w:u w:val="none"/>
        </w:rPr>
        <w:t xml:space="preserve"> is the population mean, QTL is the marker genetic effect, E is the environmental effects (here, common garden), QTLxE is the interaction between marker genetic and environmental effects, kinship corresponds to the background polygenic variation, and e is the error term. The genome scan was accomplished with the ‘scan1’ function. The statistical significance of the genome scan was established by performing a stratified (i.e., stratifying on common garden) permutation test (n=1000) using ‘scan1perm’ function. The estimated QTL effect was obtained using ‘scan1coef’ function in R/qtl2. </w:t>
      </w:r>
    </w:p>
    <w:p>
      <w:pPr>
        <w:pStyle w:val="SMText"/>
        <w:ind w:hanging="0"/>
        <w:rPr>
          <w:rFonts w:ascii="aRial" w:hAnsi="aRial" w:cs="Arial"/>
          <w:sz w:val="20"/>
          <w:szCs w:val="20"/>
        </w:rPr>
      </w:pPr>
      <w:r>
        <w:rPr>
          <w:rFonts w:cs="Arial" w:ascii="aRial" w:hAnsi="aRial"/>
          <w:sz w:val="20"/>
          <w:szCs w:val="20"/>
        </w:rPr>
      </w:r>
    </w:p>
    <w:p>
      <w:pPr>
        <w:pStyle w:val="SMHeading"/>
        <w:rPr>
          <w:rFonts w:ascii="aRial" w:hAnsi="aRial"/>
          <w:sz w:val="20"/>
          <w:szCs w:val="20"/>
        </w:rPr>
      </w:pPr>
      <w:r>
        <w:drawing>
          <wp:anchor behindDoc="0" distT="0" distB="0" distL="0" distR="0" simplePos="0" locked="0" layoutInCell="0" allowOverlap="1" relativeHeight="4">
            <wp:simplePos x="0" y="0"/>
            <wp:positionH relativeFrom="column">
              <wp:posOffset>-49530</wp:posOffset>
            </wp:positionH>
            <wp:positionV relativeFrom="paragraph">
              <wp:posOffset>7620</wp:posOffset>
            </wp:positionV>
            <wp:extent cx="6293485" cy="419544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6293485" cy="4195445"/>
                    </a:xfrm>
                    <a:prstGeom prst="rect">
                      <a:avLst/>
                    </a:prstGeom>
                  </pic:spPr>
                </pic:pic>
              </a:graphicData>
            </a:graphic>
          </wp:anchor>
        </w:drawing>
      </w:r>
      <w:r>
        <w:rPr>
          <w:rFonts w:cs="Arial" w:ascii="aRial" w:hAnsi="aRial"/>
          <w:sz w:val="20"/>
          <w:szCs w:val="20"/>
        </w:rPr>
        <w:t>F</w:t>
      </w:r>
      <w:r>
        <w:rPr>
          <w:rFonts w:cs="Arial" w:ascii="aRial" w:hAnsi="aRial"/>
          <w:sz w:val="20"/>
          <w:szCs w:val="20"/>
        </w:rPr>
        <w:t xml:space="preserve">ig. S1. </w:t>
      </w:r>
      <w:r>
        <w:rPr>
          <w:rFonts w:eastAsia="Calibri" w:cs="Arial" w:ascii="aRial" w:hAnsi="aRial"/>
          <w:b w:val="false"/>
          <w:bCs w:val="false"/>
          <w:i/>
          <w:iCs/>
          <w:kern w:val="0"/>
          <w:sz w:val="20"/>
          <w:szCs w:val="20"/>
          <w:lang w:eastAsia="en-US" w:bidi="ar-SA"/>
        </w:rPr>
        <w:t xml:space="preserve">Variance components analysis of genetic (purple), genotype by environment (blue), environmental, </w:t>
      </w:r>
      <w:r>
        <w:rPr>
          <w:rFonts w:eastAsia="Calibri" w:cs="Arial" w:ascii="aRial" w:hAnsi="aRial"/>
          <w:b w:val="false"/>
          <w:bCs w:val="false"/>
          <w:i/>
          <w:iCs/>
          <w:kern w:val="0"/>
          <w:sz w:val="20"/>
          <w:szCs w:val="20"/>
          <w:lang w:eastAsia="en-US" w:bidi="ar-SA"/>
        </w:rPr>
        <w:t>or common garden</w:t>
      </w:r>
      <w:r>
        <w:rPr>
          <w:rFonts w:eastAsia="Calibri" w:cs="Arial" w:ascii="aRial" w:hAnsi="aRial"/>
          <w:b w:val="false"/>
          <w:bCs w:val="false"/>
          <w:i/>
          <w:iCs/>
          <w:kern w:val="0"/>
          <w:sz w:val="20"/>
          <w:szCs w:val="20"/>
          <w:lang w:eastAsia="en-US" w:bidi="ar-SA"/>
        </w:rPr>
        <w:t xml:space="preserve"> (green), and residual (yellow) terms in models of green-up time as functions of Julian date or weather, for the four northern common gardens (North), the three Texas common gardens (Texas), and for all eight common gardens (All). Dashed lines indicate the cumulative contribution of G and GxE for flowering as a function of day of the year. </w:t>
      </w:r>
      <w:r>
        <w:rPr>
          <w:rFonts w:cs="Arial" w:ascii="aRial" w:hAnsi="aRial"/>
          <w:b w:val="false"/>
          <w:sz w:val="20"/>
          <w:szCs w:val="20"/>
        </w:rPr>
        <w:t xml:space="preserve"> Paste figure above the legend.</w:t>
      </w:r>
    </w:p>
    <w:p>
      <w:pPr>
        <w:pStyle w:val="SMcaption"/>
        <w:rPr>
          <w:rFonts w:ascii="Arial" w:hAnsi="Arial" w:cs="Arial"/>
          <w:sz w:val="20"/>
        </w:rPr>
      </w:pPr>
      <w:r>
        <w:rPr>
          <w:rFonts w:cs="Arial" w:ascii="Arial" w:hAnsi="Arial"/>
          <w:sz w:val="20"/>
        </w:rPr>
      </w:r>
    </w:p>
    <w:p>
      <w:pPr>
        <w:pStyle w:val="SMcaption"/>
        <w:rPr>
          <w:rFonts w:ascii="Arial" w:hAnsi="Arial" w:cs="Arial"/>
          <w:sz w:val="20"/>
        </w:rPr>
      </w:pPr>
      <w:r>
        <w:rPr/>
      </w:r>
      <w:r>
        <w:br w:type="page"/>
      </w:r>
    </w:p>
    <w:p>
      <w:pPr>
        <w:pStyle w:val="SMHeading"/>
        <w:rPr>
          <w:rFonts w:ascii="Arial" w:hAnsi="Arial" w:cs="Arial"/>
          <w:sz w:val="20"/>
          <w:szCs w:val="20"/>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504815" cy="50634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504815" cy="5063490"/>
                    </a:xfrm>
                    <a:prstGeom prst="rect">
                      <a:avLst/>
                    </a:prstGeom>
                  </pic:spPr>
                </pic:pic>
              </a:graphicData>
            </a:graphic>
          </wp:anchor>
        </w:drawing>
      </w:r>
      <w:r>
        <w:rPr>
          <w:rFonts w:cs="Arial" w:ascii="Arial" w:hAnsi="Arial"/>
          <w:sz w:val="20"/>
          <w:szCs w:val="20"/>
        </w:rPr>
        <w:t>F</w:t>
      </w:r>
      <w:r>
        <w:rPr>
          <w:rFonts w:cs="Arial" w:ascii="Arial" w:hAnsi="Arial"/>
          <w:sz w:val="20"/>
          <w:szCs w:val="20"/>
        </w:rPr>
        <w:t xml:space="preserve">ig. S2. </w:t>
      </w:r>
      <w:r>
        <w:rPr>
          <w:rFonts w:eastAsia="Calibri" w:cs="Arial" w:ascii="aRial" w:hAnsi="aRial"/>
          <w:b w:val="false"/>
          <w:bCs w:val="false"/>
          <w:i/>
          <w:iCs/>
          <w:color w:val="000000"/>
          <w:kern w:val="0"/>
          <w:sz w:val="20"/>
          <w:szCs w:val="20"/>
          <w:lang w:eastAsia="en-US" w:bidi="ar-SA"/>
        </w:rPr>
        <w:t xml:space="preserve">Effect patterns exhibited by the major data-driven matrices </w:t>
      </w:r>
      <w:r>
        <w:rPr>
          <w:rFonts w:eastAsia="Calibri" w:cs="Arial" w:ascii="aRial" w:hAnsi="aRial"/>
          <w:b w:val="false"/>
          <w:bCs w:val="false"/>
          <w:i/>
          <w:iCs/>
          <w:color w:val="000000"/>
          <w:kern w:val="0"/>
          <w:sz w:val="20"/>
          <w:szCs w:val="20"/>
          <w:lang w:eastAsia="en-US" w:bidi="ar-SA"/>
        </w:rPr>
        <w:t xml:space="preserve">for </w:t>
      </w:r>
      <w:r>
        <w:rPr>
          <w:rFonts w:eastAsia="Calibri" w:cs="Arial" w:ascii="aRial" w:hAnsi="aRial"/>
          <w:b w:val="false"/>
          <w:bCs w:val="false"/>
          <w:i/>
          <w:iCs/>
          <w:color w:val="000000"/>
          <w:kern w:val="0"/>
          <w:sz w:val="20"/>
          <w:szCs w:val="20"/>
          <w:lang w:eastAsia="en-US" w:bidi="ar-SA"/>
        </w:rPr>
        <w:t xml:space="preserve">(a,d,e,j,m,n) Gulf, (b,f,g,k,o,p) Midwest, and (c,h,i,l,q,r) </w:t>
      </w:r>
      <w:r>
        <w:rPr>
          <w:rFonts w:eastAsia="Calibri" w:cs="Arial" w:ascii="aRial" w:hAnsi="aRial"/>
          <w:b w:val="false"/>
          <w:bCs w:val="false"/>
          <w:i/>
          <w:iCs/>
          <w:color w:val="000000"/>
          <w:kern w:val="0"/>
          <w:sz w:val="20"/>
          <w:szCs w:val="20"/>
          <w:lang w:eastAsia="en-US" w:bidi="ar-SA"/>
        </w:rPr>
        <w:t xml:space="preserve">Both subpopulations </w:t>
      </w:r>
      <w:r>
        <w:rPr>
          <w:rFonts w:eastAsia="Calibri" w:cs="Arial" w:ascii="aRial" w:hAnsi="aRial"/>
          <w:b w:val="false"/>
          <w:bCs w:val="false"/>
          <w:i/>
          <w:iCs/>
          <w:color w:val="000000"/>
          <w:kern w:val="0"/>
          <w:sz w:val="20"/>
          <w:szCs w:val="20"/>
          <w:lang w:eastAsia="en-US" w:bidi="ar-SA"/>
        </w:rPr>
        <w:t xml:space="preserve">from Figure 2. </w:t>
      </w:r>
      <w:r>
        <w:rPr>
          <w:rFonts w:eastAsia="Calibri" w:cs="Arial" w:ascii="aRial" w:hAnsi="aRial"/>
          <w:b w:val="false"/>
          <w:bCs w:val="false"/>
          <w:i/>
          <w:iCs/>
          <w:color w:val="000000"/>
          <w:kern w:val="0"/>
          <w:sz w:val="20"/>
          <w:szCs w:val="20"/>
          <w:lang w:eastAsia="en-US" w:bidi="ar-SA"/>
        </w:rPr>
        <w:t>(a-</w:t>
      </w:r>
      <w:r>
        <w:rPr>
          <w:rFonts w:eastAsia="Calibri" w:cs="Arial" w:ascii="aRial" w:hAnsi="aRial"/>
          <w:b w:val="false"/>
          <w:bCs w:val="false"/>
          <w:i/>
          <w:iCs/>
          <w:color w:val="000000"/>
          <w:kern w:val="0"/>
          <w:sz w:val="20"/>
          <w:szCs w:val="20"/>
          <w:lang w:eastAsia="en-US" w:bidi="ar-SA"/>
        </w:rPr>
        <w:t>i</w:t>
      </w:r>
      <w:r>
        <w:rPr>
          <w:rFonts w:eastAsia="Calibri" w:cs="Arial" w:ascii="aRial" w:hAnsi="aRial"/>
          <w:b w:val="false"/>
          <w:bCs w:val="false"/>
          <w:i/>
          <w:iCs/>
          <w:color w:val="000000"/>
          <w:kern w:val="0"/>
          <w:sz w:val="20"/>
          <w:szCs w:val="20"/>
          <w:lang w:eastAsia="en-US" w:bidi="ar-SA"/>
        </w:rPr>
        <w:t>) Green-up date. (</w:t>
      </w:r>
      <w:r>
        <w:rPr>
          <w:rFonts w:eastAsia="Calibri" w:cs="Arial" w:ascii="aRial" w:hAnsi="aRial"/>
          <w:b w:val="false"/>
          <w:bCs w:val="false"/>
          <w:i/>
          <w:iCs/>
          <w:color w:val="000000"/>
          <w:kern w:val="0"/>
          <w:sz w:val="20"/>
          <w:szCs w:val="20"/>
          <w:lang w:eastAsia="en-US" w:bidi="ar-SA"/>
        </w:rPr>
        <w:t>j-r</w:t>
      </w:r>
      <w:r>
        <w:rPr>
          <w:rFonts w:eastAsia="Calibri" w:cs="Arial" w:ascii="aRial" w:hAnsi="aRial"/>
          <w:b w:val="false"/>
          <w:bCs w:val="false"/>
          <w:i/>
          <w:iCs/>
          <w:color w:val="000000"/>
          <w:kern w:val="0"/>
          <w:sz w:val="20"/>
          <w:szCs w:val="20"/>
          <w:lang w:eastAsia="en-US" w:bidi="ar-SA"/>
        </w:rPr>
        <w:t>) Flowering date. (a-</w:t>
      </w:r>
      <w:r>
        <w:rPr>
          <w:rFonts w:eastAsia="Calibri" w:cs="Arial" w:ascii="aRial" w:hAnsi="aRial"/>
          <w:b w:val="false"/>
          <w:bCs w:val="false"/>
          <w:i/>
          <w:iCs/>
          <w:color w:val="000000"/>
          <w:kern w:val="0"/>
          <w:sz w:val="20"/>
          <w:szCs w:val="20"/>
          <w:lang w:eastAsia="en-US" w:bidi="ar-SA"/>
        </w:rPr>
        <w:t>c,j-l</w:t>
      </w:r>
      <w:r>
        <w:rPr>
          <w:rFonts w:eastAsia="Calibri" w:cs="Arial" w:ascii="aRial" w:hAnsi="aRial"/>
          <w:b w:val="false"/>
          <w:bCs w:val="false"/>
          <w:i/>
          <w:iCs/>
          <w:color w:val="000000"/>
          <w:kern w:val="0"/>
          <w:sz w:val="20"/>
          <w:szCs w:val="20"/>
          <w:lang w:eastAsia="en-US" w:bidi="ar-SA"/>
        </w:rPr>
        <w:t>) Single-garden effect representations (eigenvectors) of the DD_tPCA data-derived matrices. The percent variation explained of DD_tPCA by each eigenvector is shown on the y-axis. Common gardens are arranged in latitudinal order along the x-axis. In addition, the first eigenvector corresponds to DD_PCA_1, and second corresponds to DD_PCA_2. (</w:t>
      </w:r>
      <w:r>
        <w:rPr>
          <w:rFonts w:eastAsia="Calibri" w:cs="Arial" w:ascii="aRial" w:hAnsi="aRial"/>
          <w:b w:val="false"/>
          <w:bCs w:val="false"/>
          <w:i/>
          <w:iCs/>
          <w:color w:val="000000"/>
          <w:kern w:val="0"/>
          <w:sz w:val="20"/>
          <w:szCs w:val="20"/>
          <w:lang w:eastAsia="en-US" w:bidi="ar-SA"/>
        </w:rPr>
        <w:t>d,f,h,m,o,q</w:t>
      </w:r>
      <w:r>
        <w:rPr>
          <w:rFonts w:eastAsia="Calibri" w:cs="Arial" w:ascii="aRial" w:hAnsi="aRial"/>
          <w:b w:val="false"/>
          <w:bCs w:val="false"/>
          <w:i/>
          <w:iCs/>
          <w:color w:val="000000"/>
          <w:kern w:val="0"/>
          <w:sz w:val="20"/>
          <w:szCs w:val="20"/>
          <w:lang w:eastAsia="en-US" w:bidi="ar-SA"/>
        </w:rPr>
        <w:t>) The number of SNPs with significant effects in both conditions that exhibit antagonistic pleiotropy between that pair of conditions. (</w:t>
      </w:r>
      <w:r>
        <w:rPr>
          <w:rFonts w:eastAsia="Calibri" w:cs="Arial" w:ascii="aRial" w:hAnsi="aRial"/>
          <w:b w:val="false"/>
          <w:bCs w:val="false"/>
          <w:i/>
          <w:iCs/>
          <w:color w:val="000000"/>
          <w:kern w:val="0"/>
          <w:sz w:val="20"/>
          <w:szCs w:val="20"/>
          <w:lang w:eastAsia="en-US" w:bidi="ar-SA"/>
        </w:rPr>
        <w:t>e,g,i,n,p,r</w:t>
      </w:r>
      <w:r>
        <w:rPr>
          <w:rFonts w:eastAsia="Calibri" w:cs="Arial" w:ascii="aRial" w:hAnsi="aRial"/>
          <w:b w:val="false"/>
          <w:bCs w:val="false"/>
          <w:i/>
          <w:iCs/>
          <w:color w:val="000000"/>
          <w:kern w:val="0"/>
          <w:sz w:val="20"/>
          <w:szCs w:val="20"/>
          <w:lang w:eastAsia="en-US" w:bidi="ar-SA"/>
        </w:rPr>
        <w:t>) Same as (</w:t>
      </w:r>
      <w:r>
        <w:rPr>
          <w:rFonts w:eastAsia="Calibri" w:cs="Arial" w:ascii="aRial" w:hAnsi="aRial"/>
          <w:b w:val="false"/>
          <w:bCs w:val="false"/>
          <w:i/>
          <w:iCs/>
          <w:color w:val="000000"/>
          <w:kern w:val="0"/>
          <w:sz w:val="20"/>
          <w:szCs w:val="20"/>
          <w:lang w:eastAsia="en-US" w:bidi="ar-SA"/>
        </w:rPr>
        <w:t>d,f,h,m,o,q</w:t>
      </w:r>
      <w:r>
        <w:rPr>
          <w:rFonts w:eastAsia="Calibri" w:cs="Arial" w:ascii="aRial" w:hAnsi="aRial"/>
          <w:b w:val="false"/>
          <w:bCs w:val="false"/>
          <w:i/>
          <w:iCs/>
          <w:color w:val="000000"/>
          <w:kern w:val="0"/>
          <w:sz w:val="20"/>
          <w:szCs w:val="20"/>
          <w:lang w:eastAsia="en-US" w:bidi="ar-SA"/>
        </w:rPr>
        <w:t xml:space="preserve">) except for differential sensitivity. </w:t>
      </w:r>
      <w:r>
        <w:rPr>
          <w:rFonts w:eastAsia="Calibri" w:cs="Arial" w:ascii="aRial" w:hAnsi="aRial"/>
          <w:b w:val="false"/>
          <w:bCs w:val="false"/>
          <w:i/>
          <w:iCs/>
          <w:color w:val="000000"/>
          <w:kern w:val="0"/>
          <w:sz w:val="20"/>
          <w:szCs w:val="20"/>
          <w:lang w:eastAsia="en-US" w:bidi="ar-SA"/>
        </w:rPr>
        <w:t>Scales for</w:t>
      </w:r>
      <w:r>
        <w:rPr>
          <w:rFonts w:eastAsia="Calibri" w:cs="Arial" w:ascii="aRial" w:hAnsi="aRial"/>
          <w:b w:val="false"/>
          <w:bCs w:val="false"/>
          <w:i/>
          <w:iCs/>
          <w:color w:val="000000"/>
          <w:kern w:val="0"/>
          <w:sz w:val="20"/>
          <w:szCs w:val="20"/>
          <w:lang w:eastAsia="en-US" w:bidi="ar-SA"/>
        </w:rPr>
        <w:t xml:space="preserve"> (d,e), (f,g), (h,i), (m,n), (o,p), and (q,r) are identical and located on the first panel in alphabetical order.</w:t>
      </w:r>
    </w:p>
    <w:p>
      <w:pPr>
        <w:pStyle w:val="SMcaption"/>
        <w:rPr>
          <w:rFonts w:ascii="Arial" w:hAnsi="Arial" w:cs="Arial"/>
          <w:sz w:val="20"/>
        </w:rPr>
      </w:pPr>
      <w:r>
        <w:rPr>
          <w:rFonts w:cs="Arial" w:ascii="Arial" w:hAnsi="Arial"/>
          <w:sz w:val="20"/>
        </w:rPr>
      </w:r>
    </w:p>
    <w:p>
      <w:pPr>
        <w:pStyle w:val="SMcaption"/>
        <w:rPr>
          <w:rFonts w:ascii="Arial" w:hAnsi="Arial" w:cs="Arial"/>
          <w:sz w:val="20"/>
        </w:rPr>
      </w:pPr>
      <w:r>
        <w:rPr/>
      </w:r>
      <w:r>
        <w:br w:type="page"/>
      </w:r>
    </w:p>
    <w:p>
      <w:pPr>
        <w:pStyle w:val="SMcaption"/>
        <w:rPr>
          <w:rFonts w:ascii="aRial" w:hAnsi="aRial"/>
          <w:b/>
          <w:b/>
          <w:bCs/>
          <w:sz w:val="20"/>
          <w:szCs w:val="20"/>
        </w:rPr>
      </w:pPr>
      <w:r>
        <w:rPr>
          <w:rFonts w:ascii="aRial" w:hAnsi="aRial"/>
          <w:b/>
          <w:bCs/>
          <w:sz w:val="20"/>
          <w:szCs w:val="2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82920" cy="37122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5582920" cy="3712210"/>
                    </a:xfrm>
                    <a:prstGeom prst="rect">
                      <a:avLst/>
                    </a:prstGeom>
                  </pic:spPr>
                </pic:pic>
              </a:graphicData>
            </a:graphic>
          </wp:anchor>
        </w:drawing>
      </w:r>
    </w:p>
    <w:p>
      <w:pPr>
        <w:pStyle w:val="SMcaption"/>
        <w:rPr>
          <w:rFonts w:ascii="aRial" w:hAnsi="aRial"/>
          <w:b/>
          <w:b/>
          <w:bCs/>
          <w:sz w:val="20"/>
          <w:szCs w:val="20"/>
        </w:rPr>
      </w:pPr>
      <w:r>
        <w:rPr>
          <w:rFonts w:ascii="aRial" w:hAnsi="aRial"/>
          <w:b/>
          <w:bCs/>
          <w:sz w:val="20"/>
          <w:szCs w:val="20"/>
        </w:rPr>
        <w:t xml:space="preserve">Figure S3. </w:t>
      </w:r>
      <w:r>
        <w:rPr>
          <w:rFonts w:eastAsia="Calibri" w:cs="Arial" w:ascii="aRial" w:hAnsi="aRial"/>
          <w:b w:val="false"/>
          <w:bCs w:val="false"/>
          <w:i/>
          <w:iCs/>
          <w:color w:val="000000"/>
          <w:kern w:val="0"/>
          <w:sz w:val="20"/>
          <w:szCs w:val="20"/>
          <w:lang w:eastAsia="en-US" w:bidi="ar-SA"/>
        </w:rPr>
        <w:t>Comparison of mash SNP effects from a diversity panel and effects from an outbred pseudo-F2 cross. (</w:t>
      </w:r>
      <w:r>
        <w:rPr>
          <w:rFonts w:eastAsia="Calibri" w:cs="DejaVu Sans" w:ascii="aRial" w:hAnsi="aRial"/>
          <w:b w:val="false"/>
          <w:bCs w:val="false"/>
          <w:i/>
          <w:iCs/>
          <w:color w:val="000000"/>
          <w:kern w:val="0"/>
          <w:sz w:val="20"/>
          <w:szCs w:val="20"/>
          <w:lang w:eastAsia="en-US" w:bidi="ar-SA"/>
        </w:rPr>
        <w:t>a)</w:t>
      </w:r>
      <w:r>
        <w:rPr>
          <w:rFonts w:eastAsia="Calibri" w:cs="Arial" w:ascii="aRial" w:hAnsi="aRial"/>
          <w:b w:val="false"/>
          <w:bCs w:val="false"/>
          <w:i/>
          <w:iCs/>
          <w:color w:val="000000"/>
          <w:kern w:val="0"/>
          <w:sz w:val="20"/>
          <w:szCs w:val="20"/>
          <w:lang w:eastAsia="en-US" w:bidi="ar-SA"/>
        </w:rPr>
        <w:t xml:space="preserve"> QTL mapping for four weather-related functions of flowering, and for green-up date, as indicated by the colors: </w:t>
      </w:r>
      <w:r>
        <w:rPr>
          <w:rFonts w:eastAsia="Calibri" w:cs="Arial" w:ascii="aRial" w:hAnsi="aRial"/>
          <w:b w:val="false"/>
          <w:bCs w:val="false"/>
          <w:i/>
          <w:iCs/>
          <w:color w:val="000000"/>
          <w:kern w:val="0"/>
          <w:sz w:val="20"/>
          <w:szCs w:val="20"/>
          <w:lang w:eastAsia="en-US" w:bidi="ar-SA"/>
        </w:rPr>
        <w:t>pink, growing degree days (GDD) from green-up date to flowering date, yellow, day length change on the flowering date, green, day length on flowering date; purple, flowering date; gray, green-up date</w:t>
      </w:r>
      <w:r>
        <w:rPr>
          <w:rFonts w:eastAsia="Calibri" w:cs="Arial" w:ascii="aRial" w:hAnsi="aRial"/>
          <w:b w:val="false"/>
          <w:bCs w:val="false"/>
          <w:i/>
          <w:iCs/>
          <w:color w:val="000000"/>
          <w:kern w:val="0"/>
          <w:sz w:val="20"/>
          <w:szCs w:val="20"/>
          <w:lang w:eastAsia="en-US" w:bidi="ar-SA"/>
        </w:rPr>
        <w:t xml:space="preserve">. Dotted lines indicate permutation-based significance thresholds for each weather-related function. </w:t>
      </w:r>
      <w:r>
        <w:rPr>
          <w:rFonts w:eastAsia="Calibri" w:cs="Arial" w:ascii="aRial" w:hAnsi="aRial"/>
          <w:b w:val="false"/>
          <w:bCs w:val="false"/>
          <w:i/>
          <w:iCs/>
          <w:color w:val="000000"/>
          <w:kern w:val="0"/>
          <w:sz w:val="20"/>
          <w:szCs w:val="20"/>
          <w:lang w:eastAsia="en-US" w:bidi="ar-SA"/>
        </w:rPr>
        <w:t xml:space="preserve">Stars indicate QTL with significant enrichment for SNPs in the 1% mash tail; B, G, and M indicate which subpopulation had enrichment: B -  both subpopulations, </w:t>
      </w:r>
      <w:r>
        <w:rPr>
          <w:rFonts w:eastAsia="Calibri" w:cs="DejaVu Sans" w:ascii="aRial" w:hAnsi="aRial"/>
          <w:b w:val="false"/>
          <w:bCs w:val="false"/>
          <w:i/>
          <w:iCs/>
          <w:color w:val="000000"/>
          <w:kern w:val="0"/>
          <w:sz w:val="20"/>
          <w:szCs w:val="20"/>
          <w:lang w:eastAsia="en-US" w:bidi="ar-SA"/>
        </w:rPr>
        <w:t>G -</w:t>
      </w:r>
      <w:r>
        <w:rPr>
          <w:rFonts w:eastAsia="Calibri" w:cs="Arial" w:ascii="aRial" w:hAnsi="aRial"/>
          <w:b w:val="false"/>
          <w:bCs w:val="false"/>
          <w:i/>
          <w:iCs/>
          <w:color w:val="000000"/>
          <w:kern w:val="0"/>
          <w:sz w:val="20"/>
          <w:szCs w:val="20"/>
          <w:lang w:eastAsia="en-US" w:bidi="ar-SA"/>
        </w:rPr>
        <w:t xml:space="preserve"> Gulf subpopulation, </w:t>
      </w:r>
      <w:r>
        <w:rPr>
          <w:rFonts w:eastAsia="Calibri" w:cs="DejaVu Sans" w:ascii="aRial" w:hAnsi="aRial"/>
          <w:b w:val="false"/>
          <w:bCs w:val="false"/>
          <w:i/>
          <w:iCs/>
          <w:color w:val="000000"/>
          <w:kern w:val="0"/>
          <w:sz w:val="20"/>
          <w:szCs w:val="20"/>
          <w:lang w:eastAsia="en-US" w:bidi="ar-SA"/>
        </w:rPr>
        <w:t>M -</w:t>
      </w:r>
      <w:r>
        <w:rPr>
          <w:rFonts w:eastAsia="Calibri" w:cs="Arial" w:ascii="aRial" w:hAnsi="aRial"/>
          <w:b w:val="false"/>
          <w:bCs w:val="false"/>
          <w:i/>
          <w:iCs/>
          <w:color w:val="000000"/>
          <w:kern w:val="0"/>
          <w:sz w:val="20"/>
          <w:szCs w:val="20"/>
          <w:lang w:eastAsia="en-US" w:bidi="ar-SA"/>
        </w:rPr>
        <w:t xml:space="preserve">Midwest subpopulation. </w:t>
      </w:r>
      <w:r>
        <w:rPr>
          <w:rFonts w:eastAsia="Calibri" w:cs="Arial" w:ascii="aRial" w:hAnsi="aRial"/>
          <w:b w:val="false"/>
          <w:bCs w:val="false"/>
          <w:i/>
          <w:iCs/>
          <w:color w:val="000000"/>
          <w:kern w:val="0"/>
          <w:sz w:val="20"/>
          <w:szCs w:val="20"/>
          <w:lang w:eastAsia="en-US" w:bidi="ar-SA"/>
        </w:rPr>
        <w:t xml:space="preserve">Rug plots show </w:t>
      </w:r>
      <w:r>
        <w:rPr>
          <w:rFonts w:eastAsia="Calibri" w:cs="Arial" w:ascii="aRial" w:hAnsi="aRial"/>
          <w:b w:val="false"/>
          <w:bCs w:val="false"/>
          <w:i/>
          <w:iCs/>
          <w:color w:val="000000"/>
          <w:kern w:val="0"/>
          <w:sz w:val="20"/>
          <w:szCs w:val="20"/>
          <w:lang w:eastAsia="en-US" w:bidi="ar-SA"/>
        </w:rPr>
        <w:t xml:space="preserve">genomic </w:t>
      </w:r>
      <w:r>
        <w:rPr>
          <w:rFonts w:eastAsia="Calibri" w:cs="Arial" w:ascii="aRial" w:hAnsi="aRial"/>
          <w:b w:val="false"/>
          <w:bCs w:val="false"/>
          <w:i/>
          <w:iCs/>
          <w:color w:val="000000"/>
          <w:kern w:val="0"/>
          <w:sz w:val="20"/>
          <w:szCs w:val="20"/>
          <w:lang w:eastAsia="en-US" w:bidi="ar-SA"/>
        </w:rPr>
        <w:t xml:space="preserve">locations </w:t>
      </w:r>
      <w:r>
        <w:rPr>
          <w:rFonts w:eastAsia="Calibri" w:cs="Arial" w:ascii="aRial" w:hAnsi="aRial"/>
          <w:b w:val="false"/>
          <w:bCs w:val="false"/>
          <w:i/>
          <w:iCs/>
          <w:color w:val="000000"/>
          <w:kern w:val="0"/>
          <w:sz w:val="20"/>
          <w:szCs w:val="20"/>
          <w:lang w:eastAsia="en-US" w:bidi="ar-SA"/>
        </w:rPr>
        <w:t xml:space="preserve">of </w:t>
      </w:r>
      <w:r>
        <w:rPr>
          <w:rFonts w:eastAsia="Calibri" w:cs="Arial" w:ascii="aRial" w:hAnsi="aRial"/>
          <w:b w:val="false"/>
          <w:bCs w:val="false"/>
          <w:i/>
          <w:iCs/>
          <w:color w:val="000000"/>
          <w:kern w:val="0"/>
          <w:sz w:val="20"/>
          <w:szCs w:val="20"/>
          <w:lang w:eastAsia="en-US" w:bidi="ar-SA"/>
        </w:rPr>
        <w:t xml:space="preserve">SNPs in the 1% mash tail </w:t>
      </w:r>
      <w:r>
        <w:rPr>
          <w:rFonts w:eastAsia="Calibri" w:cs="Arial" w:ascii="aRial" w:hAnsi="aRial"/>
          <w:b w:val="false"/>
          <w:bCs w:val="false"/>
          <w:i/>
          <w:iCs/>
          <w:color w:val="000000"/>
          <w:kern w:val="0"/>
          <w:sz w:val="20"/>
          <w:szCs w:val="20"/>
          <w:lang w:eastAsia="en-US" w:bidi="ar-SA"/>
        </w:rPr>
        <w:t>for flowering date for each subpopulation</w:t>
      </w:r>
      <w:r>
        <w:rPr>
          <w:rFonts w:eastAsia="Calibri" w:cs="Arial" w:ascii="aRial" w:hAnsi="aRial"/>
          <w:b w:val="false"/>
          <w:bCs w:val="false"/>
          <w:i/>
          <w:iCs/>
          <w:color w:val="000000"/>
          <w:kern w:val="0"/>
          <w:sz w:val="20"/>
          <w:szCs w:val="20"/>
          <w:lang w:eastAsia="en-US" w:bidi="ar-SA"/>
        </w:rPr>
        <w:t xml:space="preserve">. </w:t>
      </w:r>
      <w:r>
        <w:rPr>
          <w:rFonts w:eastAsia="Calibri" w:cs="Arial" w:ascii="aRial" w:hAnsi="aRial"/>
          <w:b w:val="false"/>
          <w:bCs w:val="false"/>
          <w:i/>
          <w:iCs/>
          <w:color w:val="000000"/>
          <w:kern w:val="0"/>
          <w:sz w:val="20"/>
          <w:szCs w:val="20"/>
          <w:lang w:eastAsia="en-US" w:bidi="ar-SA"/>
        </w:rPr>
        <w:t>(b) Schematic comparison of genotypes used for QTL mapping and genotypes used in mash. (c) Number of mash runs enriched for SNPs in the 1% mash tail in the 23 QTL intervals from (a) (dotted red line), compared to 1000 sets of 23 random QTL intervals of the same size (histogram).</w:t>
      </w:r>
      <w:r>
        <w:rPr>
          <w:rFonts w:eastAsia="Calibri" w:ascii="aRial" w:hAnsi="aRial"/>
          <w:b w:val="false"/>
          <w:bCs w:val="false"/>
          <w:i/>
          <w:iCs/>
          <w:kern w:val="0"/>
          <w:sz w:val="20"/>
          <w:szCs w:val="20"/>
          <w:lang w:eastAsia="en-US" w:bidi="ar-SA"/>
        </w:rPr>
        <w:t>(</w:t>
      </w:r>
      <w:r>
        <w:rPr>
          <w:rFonts w:eastAsia="Calibri" w:ascii="aRial" w:hAnsi="aRial"/>
          <w:b w:val="false"/>
          <w:bCs w:val="false"/>
          <w:i/>
          <w:iCs/>
          <w:kern w:val="0"/>
          <w:sz w:val="20"/>
          <w:szCs w:val="20"/>
          <w:lang w:eastAsia="en-US" w:bidi="ar-SA"/>
        </w:rPr>
        <w:t>d</w:t>
      </w:r>
      <w:r>
        <w:rPr>
          <w:rFonts w:eastAsia="Calibri" w:ascii="aRial" w:hAnsi="aRial"/>
          <w:b w:val="false"/>
          <w:bCs w:val="false"/>
          <w:i/>
          <w:iCs/>
          <w:kern w:val="0"/>
          <w:sz w:val="20"/>
          <w:szCs w:val="20"/>
          <w:lang w:eastAsia="en-US" w:bidi="ar-SA"/>
        </w:rPr>
        <w:t>) SNP effects estimated using mash for SNPs with the highest Bayes factor for the three QTL with the highest LOD scores from (</w:t>
      </w:r>
      <w:r>
        <w:rPr>
          <w:rFonts w:eastAsia="Calibri" w:ascii="aRial" w:hAnsi="aRial"/>
          <w:b w:val="false"/>
          <w:bCs w:val="false"/>
          <w:i/>
          <w:iCs/>
          <w:kern w:val="0"/>
          <w:sz w:val="20"/>
          <w:szCs w:val="20"/>
          <w:lang w:eastAsia="en-US" w:bidi="ar-SA"/>
        </w:rPr>
        <w:t>a</w:t>
      </w:r>
      <w:r>
        <w:rPr>
          <w:rFonts w:eastAsia="Calibri" w:ascii="aRial" w:hAnsi="aRial"/>
          <w:b w:val="false"/>
          <w:bCs w:val="false"/>
          <w:i/>
          <w:iCs/>
          <w:kern w:val="0"/>
          <w:sz w:val="20"/>
          <w:szCs w:val="20"/>
          <w:lang w:eastAsia="en-US" w:bidi="ar-SA"/>
        </w:rPr>
        <w:t>) and enrichment of SNPs in the 1% mash tail. SNP genomic position and genetic subpopulation are indicated above each plot. Common gardens are arranged in latitudinal order. (</w:t>
      </w:r>
      <w:r>
        <w:rPr>
          <w:rFonts w:eastAsia="Calibri" w:cs="DejaVu Sans" w:ascii="aRial" w:hAnsi="aRial"/>
          <w:b w:val="false"/>
          <w:bCs w:val="false"/>
          <w:i/>
          <w:iCs/>
          <w:kern w:val="0"/>
          <w:sz w:val="20"/>
          <w:szCs w:val="20"/>
          <w:lang w:eastAsia="en-US" w:bidi="ar-SA"/>
        </w:rPr>
        <w:t>e</w:t>
      </w:r>
      <w:r>
        <w:rPr>
          <w:rFonts w:eastAsia="Calibri" w:ascii="aRial" w:hAnsi="aRial"/>
          <w:b w:val="false"/>
          <w:bCs w:val="false"/>
          <w:i/>
          <w:iCs/>
          <w:kern w:val="0"/>
          <w:sz w:val="20"/>
          <w:szCs w:val="20"/>
          <w:lang w:eastAsia="en-US" w:bidi="ar-SA"/>
        </w:rPr>
        <w:t>) QTL effect estimates for 23 non-overlapping and partially overlapping QTLs. Colors indicate which of the four weather-related functions of flowering for which the QTL was mapped. An additional five QTLs completely overlapped the QTL displayed; in this case, the QTL with the highest lod score is shown. Solid vertical lines separate QTLs that are not overlapping. Stars indicate QTL with significant enrichment for SNPs in the 1% mash tail; B, G, and M indicate which subpopulation had enrichment, as in (</w:t>
      </w:r>
      <w:r>
        <w:rPr>
          <w:rFonts w:eastAsia="Calibri" w:ascii="aRial" w:hAnsi="aRial"/>
          <w:b w:val="false"/>
          <w:bCs w:val="false"/>
          <w:i/>
          <w:iCs/>
          <w:kern w:val="0"/>
          <w:sz w:val="20"/>
          <w:szCs w:val="20"/>
          <w:lang w:eastAsia="en-US" w:bidi="ar-SA"/>
        </w:rPr>
        <w:t>b</w:t>
      </w:r>
      <w:r>
        <w:rPr>
          <w:rFonts w:eastAsia="Calibri" w:ascii="aRial" w:hAnsi="aRial"/>
          <w:b w:val="false"/>
          <w:bCs w:val="false"/>
          <w:i/>
          <w:iCs/>
          <w:kern w:val="0"/>
          <w:sz w:val="20"/>
          <w:szCs w:val="20"/>
          <w:lang w:eastAsia="en-US" w:bidi="ar-SA"/>
        </w:rPr>
        <w:t xml:space="preserve">):B -  both subpopulations, </w:t>
      </w:r>
      <w:r>
        <w:rPr>
          <w:rFonts w:eastAsia="Calibri" w:cs="DejaVu Sans" w:ascii="aRial" w:hAnsi="aRial"/>
          <w:b w:val="false"/>
          <w:bCs w:val="false"/>
          <w:i/>
          <w:iCs/>
          <w:kern w:val="0"/>
          <w:sz w:val="20"/>
          <w:szCs w:val="20"/>
          <w:lang w:eastAsia="en-US" w:bidi="ar-SA"/>
        </w:rPr>
        <w:t>G -</w:t>
      </w:r>
      <w:r>
        <w:rPr>
          <w:rFonts w:eastAsia="Calibri" w:ascii="aRial" w:hAnsi="aRial"/>
          <w:b w:val="false"/>
          <w:bCs w:val="false"/>
          <w:i/>
          <w:iCs/>
          <w:kern w:val="0"/>
          <w:sz w:val="20"/>
          <w:szCs w:val="20"/>
          <w:lang w:eastAsia="en-US" w:bidi="ar-SA"/>
        </w:rPr>
        <w:t xml:space="preserve"> Gulf subpopulation, </w:t>
      </w:r>
      <w:r>
        <w:rPr>
          <w:rFonts w:eastAsia="Calibri" w:cs="DejaVu Sans" w:ascii="aRial" w:hAnsi="aRial"/>
          <w:b w:val="false"/>
          <w:bCs w:val="false"/>
          <w:i/>
          <w:iCs/>
          <w:kern w:val="0"/>
          <w:sz w:val="20"/>
          <w:szCs w:val="20"/>
          <w:lang w:eastAsia="en-US" w:bidi="ar-SA"/>
        </w:rPr>
        <w:t>M -</w:t>
      </w:r>
      <w:r>
        <w:rPr>
          <w:rFonts w:eastAsia="Calibri" w:ascii="aRial" w:hAnsi="aRial"/>
          <w:b w:val="false"/>
          <w:bCs w:val="false"/>
          <w:i/>
          <w:iCs/>
          <w:kern w:val="0"/>
          <w:sz w:val="20"/>
          <w:szCs w:val="20"/>
          <w:lang w:eastAsia="en-US" w:bidi="ar-SA"/>
        </w:rPr>
        <w:t xml:space="preserve">Midwest subpopulation. Common gardens are arranged in latitudinal order. </w:t>
      </w:r>
    </w:p>
    <w:p>
      <w:pPr>
        <w:pStyle w:val="SMHeading"/>
        <w:rPr>
          <w:rFonts w:ascii="Arial" w:hAnsi="Arial" w:cs="Arial"/>
          <w:b w:val="false"/>
          <w:b w:val="false"/>
          <w:sz w:val="20"/>
          <w:szCs w:val="20"/>
        </w:rPr>
      </w:pPr>
      <w:r>
        <w:rPr/>
      </w:r>
      <w:r>
        <w:br w:type="page"/>
      </w:r>
    </w:p>
    <w:p>
      <w:pPr>
        <w:pStyle w:val="SMHeading"/>
        <w:rPr>
          <w:rFonts w:ascii="Arial" w:hAnsi="Arial" w:cs="Arial"/>
          <w:b w:val="false"/>
          <w:b w:val="false"/>
          <w:sz w:val="20"/>
          <w:szCs w:val="20"/>
        </w:rPr>
      </w:pPr>
      <w:r>
        <w:rPr>
          <w:rFonts w:cs="Arial" w:ascii="aRial" w:hAnsi="aRial"/>
          <w:sz w:val="20"/>
          <w:szCs w:val="20"/>
        </w:rPr>
        <w:t xml:space="preserve">Table S1. </w:t>
      </w:r>
      <w:r>
        <w:rPr>
          <w:rFonts w:cs="Arial" w:ascii="aRial" w:hAnsi="aRial"/>
          <w:b w:val="false"/>
          <w:bCs w:val="false"/>
          <w:sz w:val="20"/>
          <w:szCs w:val="20"/>
        </w:rPr>
        <w:t>Green-up and flowering dates phenotypes linked to environmental cues.</w:t>
      </w:r>
      <w:r>
        <w:rPr>
          <w:rFonts w:cs="Arial" w:ascii="aRial" w:hAnsi="aRial"/>
          <w:b w:val="false"/>
          <w:sz w:val="20"/>
          <w:szCs w:val="20"/>
        </w:rPr>
        <w:t xml:space="preserve"> </w:t>
      </w:r>
    </w:p>
    <w:p>
      <w:pPr>
        <w:pStyle w:val="SMcaption"/>
        <w:rPr>
          <w:rFonts w:ascii="aRial" w:hAnsi="aRial" w:cs="Arial"/>
          <w:sz w:val="20"/>
          <w:szCs w:val="20"/>
        </w:rPr>
      </w:pPr>
      <w:r>
        <w:rPr>
          <w:rFonts w:cs="Arial" w:ascii="aRial" w:hAnsi="aRial"/>
          <w:sz w:val="20"/>
          <w:szCs w:val="20"/>
        </w:rPr>
      </w:r>
    </w:p>
    <w:tbl>
      <w:tblPr>
        <w:tblW w:w="9995" w:type="dxa"/>
        <w:jc w:val="left"/>
        <w:tblInd w:w="0" w:type="dxa"/>
        <w:tblLayout w:type="fixed"/>
        <w:tblCellMar>
          <w:top w:w="0" w:type="dxa"/>
          <w:left w:w="0" w:type="dxa"/>
          <w:bottom w:w="0" w:type="dxa"/>
          <w:right w:w="0" w:type="dxa"/>
        </w:tblCellMar>
      </w:tblPr>
      <w:tblGrid>
        <w:gridCol w:w="1623"/>
        <w:gridCol w:w="2779"/>
        <w:gridCol w:w="5593"/>
      </w:tblGrid>
      <w:tr>
        <w:trPr/>
        <w:tc>
          <w:tcPr>
            <w:tcW w:w="1623" w:type="dxa"/>
            <w:tcBorders>
              <w:top w:val="single" w:sz="6" w:space="0" w:color="000000"/>
              <w:bottom w:val="single" w:sz="6" w:space="0" w:color="000000"/>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Phenotype</w:t>
            </w:r>
          </w:p>
        </w:tc>
        <w:tc>
          <w:tcPr>
            <w:tcW w:w="2779" w:type="dxa"/>
            <w:tcBorders>
              <w:top w:val="single" w:sz="6" w:space="0" w:color="000000"/>
              <w:bottom w:val="single" w:sz="6" w:space="0" w:color="000000"/>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Name</w:t>
            </w:r>
          </w:p>
        </w:tc>
        <w:tc>
          <w:tcPr>
            <w:tcW w:w="5593" w:type="dxa"/>
            <w:tcBorders>
              <w:top w:val="single" w:sz="6" w:space="0" w:color="000000"/>
              <w:bottom w:val="single" w:sz="6" w:space="0" w:color="000000"/>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Description</w:t>
            </w:r>
          </w:p>
        </w:tc>
      </w:tr>
      <w:tr>
        <w:trPr/>
        <w:tc>
          <w:tcPr>
            <w:tcW w:w="1623"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green-up</w:t>
            </w:r>
          </w:p>
        </w:tc>
        <w:tc>
          <w:tcPr>
            <w:tcW w:w="2779"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 xml:space="preserve">GDD, </w:t>
            </w:r>
            <w:r>
              <w:rPr>
                <w:rFonts w:ascii="aRial" w:hAnsi="aRial"/>
                <w:b/>
                <w:bCs/>
                <w:i/>
                <w:iCs/>
                <w:color w:val="000000"/>
                <w:sz w:val="20"/>
                <w:szCs w:val="20"/>
              </w:rPr>
              <w:t>n</w:t>
            </w:r>
            <w:r>
              <w:rPr>
                <w:rFonts w:ascii="aRial" w:hAnsi="aRial"/>
                <w:color w:val="000000"/>
                <w:sz w:val="20"/>
                <w:szCs w:val="20"/>
              </w:rPr>
              <w:t>d</w:t>
            </w:r>
          </w:p>
          <w:p>
            <w:pPr>
              <w:pStyle w:val="TableContents"/>
              <w:widowControl w:val="false"/>
              <w:spacing w:before="0" w:after="160"/>
              <w:rPr>
                <w:rFonts w:ascii="aRial" w:hAnsi="aRial"/>
                <w:color w:val="000000"/>
                <w:sz w:val="20"/>
                <w:szCs w:val="20"/>
              </w:rPr>
            </w:pPr>
            <w:r>
              <w:rPr>
                <w:rFonts w:ascii="aRial" w:hAnsi="aRial"/>
                <w:color w:val="000000"/>
                <w:sz w:val="20"/>
                <w:szCs w:val="20"/>
              </w:rPr>
              <w:t>where ‘</w:t>
            </w:r>
            <w:r>
              <w:rPr>
                <w:rFonts w:ascii="aRial" w:hAnsi="aRial"/>
                <w:b/>
                <w:bCs/>
                <w:i/>
                <w:iCs/>
                <w:color w:val="000000"/>
                <w:sz w:val="20"/>
                <w:szCs w:val="20"/>
              </w:rPr>
              <w:t>n</w:t>
            </w:r>
            <w:r>
              <w:rPr>
                <w:rFonts w:ascii="aRial" w:hAnsi="aRial"/>
                <w:color w:val="000000"/>
                <w:sz w:val="20"/>
                <w:szCs w:val="20"/>
              </w:rPr>
              <w:t>’ is in {5, 10, 18}</w:t>
            </w:r>
          </w:p>
        </w:tc>
        <w:tc>
          <w:tcPr>
            <w:tcW w:w="5593"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Correlations in cumulative growing degree days for the five, ten, or eighteen days prior to green-up.</w:t>
            </w:r>
          </w:p>
        </w:tc>
      </w:tr>
      <w:tr>
        <w:trPr/>
        <w:tc>
          <w:tcPr>
            <w:tcW w:w="1623"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green-up</w:t>
            </w:r>
          </w:p>
        </w:tc>
        <w:tc>
          <w:tcPr>
            <w:tcW w:w="2779"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 xml:space="preserve">Temp Ave, </w:t>
            </w:r>
            <w:r>
              <w:rPr>
                <w:rFonts w:ascii="aRial" w:hAnsi="aRial"/>
                <w:b/>
                <w:bCs/>
                <w:i/>
                <w:iCs/>
                <w:color w:val="000000"/>
                <w:sz w:val="20"/>
                <w:szCs w:val="20"/>
              </w:rPr>
              <w:t>n</w:t>
            </w:r>
            <w:r>
              <w:rPr>
                <w:rFonts w:ascii="aRial" w:hAnsi="aRial"/>
                <w:color w:val="000000"/>
                <w:sz w:val="20"/>
                <w:szCs w:val="20"/>
              </w:rPr>
              <w:t>d</w:t>
            </w:r>
          </w:p>
          <w:p>
            <w:pPr>
              <w:pStyle w:val="TableContents"/>
              <w:widowControl w:val="false"/>
              <w:spacing w:before="0" w:after="160"/>
              <w:rPr>
                <w:rFonts w:ascii="aRial" w:hAnsi="aRial"/>
                <w:color w:val="000000"/>
                <w:sz w:val="20"/>
                <w:szCs w:val="20"/>
              </w:rPr>
            </w:pPr>
            <w:r>
              <w:rPr>
                <w:rFonts w:ascii="aRial" w:hAnsi="aRial"/>
                <w:color w:val="000000"/>
                <w:sz w:val="20"/>
                <w:szCs w:val="20"/>
              </w:rPr>
              <w:t>where ‘</w:t>
            </w:r>
            <w:r>
              <w:rPr>
                <w:rFonts w:ascii="aRial" w:hAnsi="aRial"/>
                <w:b/>
                <w:bCs/>
                <w:i/>
                <w:iCs/>
                <w:color w:val="000000"/>
                <w:sz w:val="20"/>
                <w:szCs w:val="20"/>
              </w:rPr>
              <w:t>n</w:t>
            </w:r>
            <w:r>
              <w:rPr>
                <w:rFonts w:ascii="aRial" w:hAnsi="aRial"/>
                <w:color w:val="000000"/>
                <w:sz w:val="20"/>
                <w:szCs w:val="20"/>
              </w:rPr>
              <w:t>’ is in {5, 10, 18}</w:t>
            </w:r>
          </w:p>
        </w:tc>
        <w:tc>
          <w:tcPr>
            <w:tcW w:w="5593"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Correlations in average temperature for the five, ten, or eighteen days prior to green-up.</w:t>
            </w:r>
          </w:p>
        </w:tc>
      </w:tr>
      <w:tr>
        <w:trPr/>
        <w:tc>
          <w:tcPr>
            <w:tcW w:w="1623"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flowering</w:t>
            </w:r>
          </w:p>
        </w:tc>
        <w:tc>
          <w:tcPr>
            <w:tcW w:w="2779"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50% green-up</w:t>
            </w:r>
          </w:p>
        </w:tc>
        <w:tc>
          <w:tcPr>
            <w:tcW w:w="5593"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Correlations in green-up.</w:t>
            </w:r>
          </w:p>
        </w:tc>
      </w:tr>
      <w:tr>
        <w:trPr/>
        <w:tc>
          <w:tcPr>
            <w:tcW w:w="1623"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flowering</w:t>
            </w:r>
          </w:p>
        </w:tc>
        <w:tc>
          <w:tcPr>
            <w:tcW w:w="2779"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daylength</w:t>
            </w:r>
          </w:p>
        </w:tc>
        <w:tc>
          <w:tcPr>
            <w:tcW w:w="5593"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Correlations in day length on the day of flowering.</w:t>
            </w:r>
          </w:p>
        </w:tc>
      </w:tr>
      <w:tr>
        <w:trPr/>
        <w:tc>
          <w:tcPr>
            <w:tcW w:w="1623"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flowering</w:t>
            </w:r>
          </w:p>
        </w:tc>
        <w:tc>
          <w:tcPr>
            <w:tcW w:w="2779"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 xml:space="preserve">daylength change (s) </w:t>
            </w:r>
          </w:p>
        </w:tc>
        <w:tc>
          <w:tcPr>
            <w:tcW w:w="5593"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Correlations in the change in daylength (in seconds) on the day of flowering.</w:t>
            </w:r>
          </w:p>
        </w:tc>
      </w:tr>
      <w:tr>
        <w:trPr/>
        <w:tc>
          <w:tcPr>
            <w:tcW w:w="1623"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flowering</w:t>
            </w:r>
          </w:p>
        </w:tc>
        <w:tc>
          <w:tcPr>
            <w:tcW w:w="2779"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GDD, GR to FL</w:t>
            </w:r>
          </w:p>
        </w:tc>
        <w:tc>
          <w:tcPr>
            <w:tcW w:w="5593" w:type="dxa"/>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Correlations in cumulative GDD between green-up and flowering.</w:t>
            </w:r>
          </w:p>
        </w:tc>
      </w:tr>
      <w:tr>
        <w:trPr/>
        <w:tc>
          <w:tcPr>
            <w:tcW w:w="1623" w:type="dxa"/>
            <w:tcBorders>
              <w:bottom w:val="single" w:sz="6" w:space="0" w:color="000000"/>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flowering</w:t>
            </w:r>
          </w:p>
        </w:tc>
        <w:tc>
          <w:tcPr>
            <w:tcW w:w="2779" w:type="dxa"/>
            <w:tcBorders>
              <w:bottom w:val="single" w:sz="6" w:space="0" w:color="000000"/>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 xml:space="preserve">Rainfall, </w:t>
            </w:r>
            <w:r>
              <w:rPr>
                <w:rFonts w:ascii="aRial" w:hAnsi="aRial"/>
                <w:b/>
                <w:bCs/>
                <w:i/>
                <w:iCs/>
                <w:color w:val="000000"/>
                <w:sz w:val="20"/>
                <w:szCs w:val="20"/>
              </w:rPr>
              <w:t>n</w:t>
            </w:r>
            <w:r>
              <w:rPr>
                <w:rFonts w:ascii="aRial" w:hAnsi="aRial"/>
                <w:color w:val="000000"/>
                <w:sz w:val="20"/>
                <w:szCs w:val="20"/>
              </w:rPr>
              <w:t>d sum</w:t>
            </w:r>
          </w:p>
          <w:p>
            <w:pPr>
              <w:pStyle w:val="TableContents"/>
              <w:widowControl w:val="false"/>
              <w:spacing w:before="0" w:after="160"/>
              <w:rPr>
                <w:rFonts w:ascii="aRial" w:hAnsi="aRial"/>
                <w:color w:val="000000"/>
                <w:sz w:val="20"/>
                <w:szCs w:val="20"/>
              </w:rPr>
            </w:pPr>
            <w:r>
              <w:rPr>
                <w:rFonts w:ascii="aRial" w:hAnsi="aRial"/>
                <w:color w:val="000000"/>
                <w:sz w:val="20"/>
                <w:szCs w:val="20"/>
              </w:rPr>
              <w:t>where ‘</w:t>
            </w:r>
            <w:r>
              <w:rPr>
                <w:rFonts w:ascii="aRial" w:hAnsi="aRial"/>
                <w:b/>
                <w:bCs/>
                <w:i/>
                <w:iCs/>
                <w:color w:val="000000"/>
                <w:sz w:val="20"/>
                <w:szCs w:val="20"/>
              </w:rPr>
              <w:t>n</w:t>
            </w:r>
            <w:r>
              <w:rPr>
                <w:rFonts w:ascii="aRial" w:hAnsi="aRial"/>
                <w:color w:val="000000"/>
                <w:sz w:val="20"/>
                <w:szCs w:val="20"/>
              </w:rPr>
              <w:t>’ is in {1, 3, 5}</w:t>
            </w:r>
          </w:p>
        </w:tc>
        <w:tc>
          <w:tcPr>
            <w:tcW w:w="5593" w:type="dxa"/>
            <w:tcBorders>
              <w:bottom w:val="single" w:sz="6" w:space="0" w:color="000000"/>
            </w:tcBorders>
          </w:tcPr>
          <w:p>
            <w:pPr>
              <w:pStyle w:val="TableContents"/>
              <w:widowControl w:val="false"/>
              <w:spacing w:before="0" w:after="160"/>
              <w:rPr>
                <w:rFonts w:ascii="aRial" w:hAnsi="aRial"/>
                <w:color w:val="000000"/>
                <w:sz w:val="20"/>
                <w:szCs w:val="20"/>
              </w:rPr>
            </w:pPr>
            <w:r>
              <w:rPr>
                <w:rFonts w:ascii="aRial" w:hAnsi="aRial"/>
                <w:color w:val="000000"/>
                <w:sz w:val="20"/>
                <w:szCs w:val="20"/>
              </w:rPr>
              <w:t>Correlations in cumulative rainfall in the one, three, or five days before flowering, or in the days between green-up and flowering.</w:t>
            </w:r>
          </w:p>
        </w:tc>
      </w:tr>
    </w:tbl>
    <w:p>
      <w:pPr>
        <w:pStyle w:val="SMcaption"/>
        <w:rPr>
          <w:rFonts w:cs="Arial"/>
        </w:rPr>
      </w:pPr>
      <w:r>
        <w:rPr>
          <w:rFonts w:cs="Arial" w:ascii="Arial" w:hAnsi="Arial"/>
          <w:sz w:val="20"/>
        </w:rPr>
      </w:r>
      <w:r>
        <w:br w:type="page"/>
      </w:r>
    </w:p>
    <w:p>
      <w:pPr>
        <w:pStyle w:val="Normal"/>
        <w:rPr>
          <w:rFonts w:ascii="aRial" w:hAnsi="aRial"/>
          <w:sz w:val="20"/>
          <w:szCs w:val="20"/>
        </w:rPr>
      </w:pPr>
      <w:r>
        <w:rPr>
          <w:rFonts w:eastAsia="Calibri" w:ascii="aRial" w:hAnsi="aRial"/>
          <w:b/>
          <w:bCs/>
          <w:i/>
          <w:iCs/>
          <w:kern w:val="0"/>
          <w:sz w:val="20"/>
          <w:szCs w:val="20"/>
          <w:lang w:eastAsia="en-US" w:bidi="ar-SA"/>
        </w:rPr>
        <w:t xml:space="preserve">Dataset 1. </w:t>
      </w:r>
      <w:r>
        <w:rPr>
          <w:rFonts w:eastAsia="Calibri" w:ascii="aRial" w:hAnsi="aRial"/>
          <w:b w:val="false"/>
          <w:bCs w:val="false"/>
          <w:i/>
          <w:iCs/>
          <w:kern w:val="0"/>
          <w:sz w:val="20"/>
          <w:szCs w:val="20"/>
          <w:lang w:eastAsia="en-US" w:bidi="ar-SA"/>
        </w:rPr>
        <w:t>SNP-associated effects and standard errors for green-up estimated using the Gulf genetic subpopulation.</w:t>
      </w:r>
    </w:p>
    <w:p>
      <w:pPr>
        <w:pStyle w:val="Normal"/>
        <w:rPr>
          <w:rFonts w:ascii="aRial" w:hAnsi="aRial"/>
          <w:sz w:val="20"/>
          <w:szCs w:val="20"/>
        </w:rPr>
      </w:pPr>
      <w:r>
        <w:rPr>
          <w:rFonts w:eastAsia="Calibri" w:ascii="aRial" w:hAnsi="aRial"/>
          <w:b/>
          <w:bCs/>
          <w:i/>
          <w:iCs/>
          <w:kern w:val="0"/>
          <w:sz w:val="20"/>
          <w:szCs w:val="20"/>
          <w:lang w:eastAsia="en-US" w:bidi="ar-SA"/>
        </w:rPr>
        <w:t xml:space="preserve">Dataset </w:t>
      </w:r>
      <w:r>
        <w:rPr>
          <w:rFonts w:eastAsia="Calibri" w:ascii="aRial" w:hAnsi="aRial"/>
          <w:b/>
          <w:bCs/>
          <w:i/>
          <w:iCs/>
          <w:kern w:val="0"/>
          <w:sz w:val="20"/>
          <w:szCs w:val="20"/>
          <w:lang w:eastAsia="en-US" w:bidi="ar-SA"/>
        </w:rPr>
        <w:t>2</w:t>
      </w:r>
      <w:r>
        <w:rPr>
          <w:rFonts w:eastAsia="Calibri" w:ascii="aRial" w:hAnsi="aRial"/>
          <w:b/>
          <w:bCs/>
          <w:i/>
          <w:iCs/>
          <w:kern w:val="0"/>
          <w:sz w:val="20"/>
          <w:szCs w:val="20"/>
          <w:lang w:eastAsia="en-US" w:bidi="ar-SA"/>
        </w:rPr>
        <w:t xml:space="preserve">. </w:t>
      </w:r>
      <w:r>
        <w:rPr>
          <w:rFonts w:eastAsia="Calibri" w:ascii="aRial" w:hAnsi="aRial"/>
          <w:b w:val="false"/>
          <w:bCs w:val="false"/>
          <w:i/>
          <w:iCs/>
          <w:kern w:val="0"/>
          <w:sz w:val="20"/>
          <w:szCs w:val="20"/>
          <w:lang w:eastAsia="en-US" w:bidi="ar-SA"/>
        </w:rPr>
        <w:t>SNP-associated effects and standard errors for green-up estimated using the Midwest genetic subpopulation.</w:t>
      </w:r>
    </w:p>
    <w:p>
      <w:pPr>
        <w:pStyle w:val="Normal"/>
        <w:rPr>
          <w:rFonts w:ascii="aRial" w:hAnsi="aRial"/>
          <w:b w:val="false"/>
          <w:b w:val="false"/>
          <w:bCs w:val="false"/>
          <w:sz w:val="20"/>
          <w:szCs w:val="20"/>
        </w:rPr>
      </w:pPr>
      <w:r>
        <w:rPr>
          <w:rFonts w:eastAsia="Calibri" w:ascii="aRial" w:hAnsi="aRial"/>
          <w:b/>
          <w:bCs/>
          <w:i/>
          <w:iCs/>
          <w:kern w:val="0"/>
          <w:sz w:val="20"/>
          <w:szCs w:val="20"/>
          <w:lang w:eastAsia="en-US" w:bidi="ar-SA"/>
        </w:rPr>
        <w:t xml:space="preserve">Dataset </w:t>
      </w:r>
      <w:r>
        <w:rPr>
          <w:rFonts w:eastAsia="Calibri" w:ascii="aRial" w:hAnsi="aRial"/>
          <w:b/>
          <w:bCs/>
          <w:i/>
          <w:iCs/>
          <w:kern w:val="0"/>
          <w:sz w:val="20"/>
          <w:szCs w:val="20"/>
          <w:lang w:eastAsia="en-US" w:bidi="ar-SA"/>
        </w:rPr>
        <w:t>3</w:t>
      </w:r>
      <w:r>
        <w:rPr>
          <w:rFonts w:eastAsia="Calibri" w:ascii="aRial" w:hAnsi="aRial"/>
          <w:b/>
          <w:bCs/>
          <w:i/>
          <w:iCs/>
          <w:kern w:val="0"/>
          <w:sz w:val="20"/>
          <w:szCs w:val="20"/>
          <w:lang w:eastAsia="en-US" w:bidi="ar-SA"/>
        </w:rPr>
        <w:t xml:space="preserve">. </w:t>
      </w:r>
      <w:r>
        <w:rPr>
          <w:rFonts w:eastAsia="Calibri" w:ascii="aRial" w:hAnsi="aRial"/>
          <w:b w:val="false"/>
          <w:bCs w:val="false"/>
          <w:i/>
          <w:iCs/>
          <w:kern w:val="0"/>
          <w:sz w:val="20"/>
          <w:szCs w:val="20"/>
          <w:lang w:eastAsia="en-US" w:bidi="ar-SA"/>
        </w:rPr>
        <w:t>SNP-associated effects and standard errors for green-up estimated using Both genetic subpopulations.</w:t>
      </w:r>
    </w:p>
    <w:p>
      <w:pPr>
        <w:pStyle w:val="Normal"/>
        <w:rPr>
          <w:rFonts w:ascii="aRial" w:hAnsi="aRial"/>
          <w:b w:val="false"/>
          <w:b w:val="false"/>
          <w:bCs w:val="false"/>
          <w:sz w:val="20"/>
          <w:szCs w:val="20"/>
        </w:rPr>
      </w:pPr>
      <w:r>
        <w:rPr>
          <w:rFonts w:eastAsia="Calibri" w:ascii="aRial" w:hAnsi="aRial"/>
          <w:b/>
          <w:bCs/>
          <w:i/>
          <w:iCs/>
          <w:kern w:val="0"/>
          <w:sz w:val="20"/>
          <w:szCs w:val="20"/>
          <w:lang w:eastAsia="en-US" w:bidi="ar-SA"/>
        </w:rPr>
        <w:t xml:space="preserve">Dataset </w:t>
      </w:r>
      <w:r>
        <w:rPr>
          <w:rFonts w:eastAsia="Calibri" w:ascii="aRial" w:hAnsi="aRial"/>
          <w:b/>
          <w:bCs/>
          <w:i/>
          <w:iCs/>
          <w:kern w:val="0"/>
          <w:sz w:val="20"/>
          <w:szCs w:val="20"/>
          <w:lang w:eastAsia="en-US" w:bidi="ar-SA"/>
        </w:rPr>
        <w:t>4</w:t>
      </w:r>
      <w:r>
        <w:rPr>
          <w:rFonts w:eastAsia="Calibri" w:ascii="aRial" w:hAnsi="aRial"/>
          <w:b/>
          <w:bCs/>
          <w:i/>
          <w:iCs/>
          <w:kern w:val="0"/>
          <w:sz w:val="20"/>
          <w:szCs w:val="20"/>
          <w:lang w:eastAsia="en-US" w:bidi="ar-SA"/>
        </w:rPr>
        <w:t xml:space="preserve">. </w:t>
      </w:r>
      <w:r>
        <w:rPr>
          <w:rFonts w:eastAsia="Calibri" w:ascii="aRial" w:hAnsi="aRial"/>
          <w:b w:val="false"/>
          <w:bCs w:val="false"/>
          <w:i/>
          <w:iCs/>
          <w:kern w:val="0"/>
          <w:sz w:val="20"/>
          <w:szCs w:val="20"/>
          <w:lang w:eastAsia="en-US" w:bidi="ar-SA"/>
        </w:rPr>
        <w:t>SNP-associated effects and standard errors for flowering estimated using the Gulf genetic subpopulation.</w:t>
      </w:r>
    </w:p>
    <w:p>
      <w:pPr>
        <w:pStyle w:val="Normal"/>
        <w:rPr>
          <w:rFonts w:ascii="aRial" w:hAnsi="aRial"/>
          <w:b w:val="false"/>
          <w:b w:val="false"/>
          <w:bCs w:val="false"/>
          <w:sz w:val="20"/>
          <w:szCs w:val="20"/>
        </w:rPr>
      </w:pPr>
      <w:r>
        <w:rPr>
          <w:rFonts w:eastAsia="Calibri" w:ascii="aRial" w:hAnsi="aRial"/>
          <w:b/>
          <w:bCs/>
          <w:i/>
          <w:iCs/>
          <w:kern w:val="0"/>
          <w:sz w:val="20"/>
          <w:szCs w:val="20"/>
          <w:lang w:eastAsia="en-US" w:bidi="ar-SA"/>
        </w:rPr>
        <w:t xml:space="preserve">Dataset </w:t>
      </w:r>
      <w:r>
        <w:rPr>
          <w:rFonts w:eastAsia="Calibri" w:ascii="aRial" w:hAnsi="aRial"/>
          <w:b/>
          <w:bCs/>
          <w:i/>
          <w:iCs/>
          <w:kern w:val="0"/>
          <w:sz w:val="20"/>
          <w:szCs w:val="20"/>
          <w:lang w:eastAsia="en-US" w:bidi="ar-SA"/>
        </w:rPr>
        <w:t>5</w:t>
      </w:r>
      <w:r>
        <w:rPr>
          <w:rFonts w:eastAsia="Calibri" w:ascii="aRial" w:hAnsi="aRial"/>
          <w:b/>
          <w:bCs/>
          <w:i/>
          <w:iCs/>
          <w:kern w:val="0"/>
          <w:sz w:val="20"/>
          <w:szCs w:val="20"/>
          <w:lang w:eastAsia="en-US" w:bidi="ar-SA"/>
        </w:rPr>
        <w:t>.</w:t>
      </w:r>
      <w:r>
        <w:rPr>
          <w:rFonts w:eastAsia="Calibri" w:ascii="aRial" w:hAnsi="aRial"/>
          <w:b w:val="false"/>
          <w:bCs w:val="false"/>
          <w:i/>
          <w:iCs/>
          <w:kern w:val="0"/>
          <w:sz w:val="20"/>
          <w:szCs w:val="20"/>
          <w:lang w:eastAsia="en-US" w:bidi="ar-SA"/>
        </w:rPr>
        <w:t xml:space="preserve"> SNP-associated effects and standard errors for flowering estimated using the Midwest genetic subpopulation.</w:t>
      </w:r>
    </w:p>
    <w:p>
      <w:pPr>
        <w:pStyle w:val="Normal"/>
        <w:rPr>
          <w:rFonts w:ascii="aRial" w:hAnsi="aRial"/>
          <w:b w:val="false"/>
          <w:b w:val="false"/>
          <w:bCs w:val="false"/>
          <w:sz w:val="20"/>
          <w:szCs w:val="20"/>
        </w:rPr>
      </w:pPr>
      <w:r>
        <w:rPr>
          <w:rFonts w:eastAsia="Calibri" w:ascii="aRial" w:hAnsi="aRial"/>
          <w:b/>
          <w:bCs/>
          <w:i/>
          <w:iCs/>
          <w:kern w:val="0"/>
          <w:sz w:val="20"/>
          <w:szCs w:val="20"/>
          <w:lang w:eastAsia="en-US" w:bidi="ar-SA"/>
        </w:rPr>
        <w:t xml:space="preserve">Dataset </w:t>
      </w:r>
      <w:r>
        <w:rPr>
          <w:rFonts w:eastAsia="Calibri" w:ascii="aRial" w:hAnsi="aRial"/>
          <w:b/>
          <w:bCs/>
          <w:i/>
          <w:iCs/>
          <w:kern w:val="0"/>
          <w:sz w:val="20"/>
          <w:szCs w:val="20"/>
          <w:lang w:eastAsia="en-US" w:bidi="ar-SA"/>
        </w:rPr>
        <w:t>6</w:t>
      </w:r>
      <w:r>
        <w:rPr>
          <w:rFonts w:eastAsia="Calibri" w:ascii="aRial" w:hAnsi="aRial"/>
          <w:b/>
          <w:bCs/>
          <w:i/>
          <w:iCs/>
          <w:kern w:val="0"/>
          <w:sz w:val="20"/>
          <w:szCs w:val="20"/>
          <w:lang w:eastAsia="en-US" w:bidi="ar-SA"/>
        </w:rPr>
        <w:t>.</w:t>
      </w:r>
      <w:r>
        <w:rPr>
          <w:rFonts w:eastAsia="Calibri" w:ascii="aRial" w:hAnsi="aRial"/>
          <w:b w:val="false"/>
          <w:bCs w:val="false"/>
          <w:i/>
          <w:iCs/>
          <w:kern w:val="0"/>
          <w:sz w:val="20"/>
          <w:szCs w:val="20"/>
          <w:lang w:eastAsia="en-US" w:bidi="ar-SA"/>
        </w:rPr>
        <w:t xml:space="preserve"> SNP-associated effects and standard errors for flowering estimated using Both genetic subpopulations.</w:t>
      </w:r>
    </w:p>
    <w:p>
      <w:pPr>
        <w:pStyle w:val="Normal"/>
        <w:rPr>
          <w:rFonts w:ascii="aRial" w:hAnsi="aRial"/>
          <w:sz w:val="20"/>
          <w:szCs w:val="20"/>
        </w:rPr>
      </w:pPr>
      <w:r>
        <w:rPr>
          <w:rFonts w:ascii="aRial" w:hAnsi="aRial"/>
          <w:b/>
          <w:bCs/>
          <w:i/>
          <w:iCs/>
          <w:sz w:val="20"/>
          <w:szCs w:val="20"/>
        </w:rPr>
        <w:t>Dataset</w:t>
      </w:r>
      <w:r>
        <w:rPr>
          <w:rFonts w:ascii="aRial" w:hAnsi="aRial"/>
          <w:b/>
          <w:bCs/>
          <w:i/>
          <w:iCs/>
          <w:sz w:val="20"/>
          <w:szCs w:val="20"/>
        </w:rPr>
        <w:t xml:space="preserve"> </w:t>
      </w:r>
      <w:r>
        <w:rPr>
          <w:rFonts w:ascii="aRial" w:hAnsi="aRial"/>
          <w:b/>
          <w:bCs/>
          <w:i/>
          <w:iCs/>
          <w:sz w:val="20"/>
          <w:szCs w:val="20"/>
        </w:rPr>
        <w:t>7</w:t>
      </w:r>
      <w:r>
        <w:rPr>
          <w:rFonts w:ascii="aRial" w:hAnsi="aRial"/>
          <w:b/>
          <w:bCs/>
          <w:i/>
          <w:iCs/>
          <w:sz w:val="20"/>
          <w:szCs w:val="20"/>
        </w:rPr>
        <w:t xml:space="preserve">. </w:t>
      </w:r>
      <w:r>
        <w:rPr>
          <w:rFonts w:ascii="aRial" w:hAnsi="aRial"/>
          <w:i/>
          <w:iCs/>
          <w:sz w:val="20"/>
          <w:szCs w:val="20"/>
        </w:rPr>
        <w:t>Genes within QTL that have functionally validated roles in flowering in rice.</w:t>
      </w:r>
    </w:p>
    <w:p>
      <w:pPr>
        <w:pStyle w:val="Normal"/>
        <w:rPr>
          <w:rFonts w:ascii="aRial" w:hAnsi="aRial"/>
          <w:sz w:val="20"/>
          <w:szCs w:val="20"/>
        </w:rPr>
      </w:pPr>
      <w:r>
        <w:rPr>
          <w:rFonts w:eastAsia="Calibri" w:cs="Arial" w:ascii="aRial" w:hAnsi="aRial"/>
          <w:b/>
          <w:bCs/>
          <w:i/>
          <w:iCs/>
          <w:kern w:val="0"/>
          <w:sz w:val="20"/>
          <w:szCs w:val="20"/>
          <w:lang w:eastAsia="en-US" w:bidi="ar-SA"/>
        </w:rPr>
        <w:t xml:space="preserve">Dataset </w:t>
      </w:r>
      <w:r>
        <w:rPr>
          <w:rFonts w:eastAsia="Calibri" w:cs="Arial" w:ascii="aRial" w:hAnsi="aRial"/>
          <w:b/>
          <w:bCs/>
          <w:i/>
          <w:iCs/>
          <w:kern w:val="0"/>
          <w:sz w:val="20"/>
          <w:szCs w:val="20"/>
          <w:lang w:eastAsia="en-US" w:bidi="ar-SA"/>
        </w:rPr>
        <w:t>8</w:t>
      </w:r>
      <w:r>
        <w:rPr>
          <w:rFonts w:eastAsia="Calibri" w:cs="Arial" w:ascii="aRial" w:hAnsi="aRial"/>
          <w:b/>
          <w:bCs/>
          <w:i/>
          <w:iCs/>
          <w:kern w:val="0"/>
          <w:sz w:val="20"/>
          <w:szCs w:val="20"/>
          <w:lang w:eastAsia="en-US" w:bidi="ar-SA"/>
        </w:rPr>
        <w:t>.</w:t>
      </w:r>
      <w:r>
        <w:rPr>
          <w:rFonts w:eastAsia="Calibri" w:cs="Arial" w:ascii="aRial" w:hAnsi="aRial"/>
          <w:b w:val="false"/>
          <w:bCs w:val="false"/>
          <w:i/>
          <w:iCs/>
          <w:kern w:val="0"/>
          <w:sz w:val="20"/>
          <w:szCs w:val="20"/>
          <w:lang w:eastAsia="en-US" w:bidi="ar-SA"/>
        </w:rPr>
        <w:t xml:space="preserve"> Overlap between quantitative trait loci for flowering measured using an outbred pseudo-F2 mapping population, and significant mash effect estimates (with a log10Bayes Factor &gt; 2</w:t>
      </w:r>
      <w:r>
        <w:rPr>
          <w:rFonts w:eastAsia="Calibri" w:cs="Arial" w:ascii="aRial" w:hAnsi="aRial"/>
          <w:b w:val="false"/>
          <w:bCs w:val="false"/>
          <w:i/>
          <w:iCs/>
          <w:kern w:val="0"/>
          <w:sz w:val="20"/>
          <w:szCs w:val="20"/>
          <w:lang w:eastAsia="en-US" w:bidi="ar-SA"/>
        </w:rPr>
        <w:t>)</w:t>
      </w:r>
      <w:r>
        <w:rPr>
          <w:rFonts w:eastAsia="Calibri" w:cs="Arial" w:ascii="aRial" w:hAnsi="aRial"/>
          <w:b w:val="false"/>
          <w:bCs w:val="false"/>
          <w:i/>
          <w:iCs/>
          <w:kern w:val="0"/>
          <w:sz w:val="20"/>
          <w:szCs w:val="20"/>
          <w:lang w:eastAsia="en-US" w:bidi="ar-SA"/>
        </w:rPr>
        <w:t xml:space="preserve"> </w:t>
      </w:r>
      <w:r>
        <w:rPr>
          <w:rFonts w:eastAsia="Calibri" w:cs="Arial" w:ascii="aRial" w:hAnsi="aRial"/>
          <w:b w:val="false"/>
          <w:bCs w:val="false"/>
          <w:i/>
          <w:iCs/>
          <w:kern w:val="0"/>
          <w:sz w:val="20"/>
          <w:szCs w:val="20"/>
          <w:lang w:eastAsia="en-US" w:bidi="ar-SA"/>
        </w:rPr>
        <w:t>found using three overlapping diversity panels</w:t>
      </w:r>
      <w:r>
        <w:rPr>
          <w:rFonts w:eastAsia="Calibri" w:cs="Arial" w:ascii="aRial" w:hAnsi="aRial"/>
          <w:b w:val="false"/>
          <w:bCs w:val="false"/>
          <w:i/>
          <w:iCs/>
          <w:kern w:val="0"/>
          <w:sz w:val="20"/>
          <w:szCs w:val="20"/>
          <w:lang w:eastAsia="en-US" w:bidi="ar-SA"/>
        </w:rPr>
        <w:t xml:space="preserve">. </w:t>
      </w:r>
    </w:p>
    <w:p>
      <w:pPr>
        <w:pStyle w:val="SMcaption"/>
        <w:rPr>
          <w:rFonts w:ascii="Arial" w:hAnsi="Arial" w:cs="Arial"/>
          <w:sz w:val="20"/>
        </w:rPr>
      </w:pPr>
      <w:r>
        <w:rPr>
          <w:rFonts w:cs="Arial" w:ascii="Arial" w:hAnsi="Arial"/>
          <w:sz w:val="20"/>
        </w:rPr>
      </w:r>
    </w:p>
    <w:p>
      <w:pPr>
        <w:pStyle w:val="SMcaption"/>
        <w:rPr>
          <w:rFonts w:ascii="Arial" w:hAnsi="Arial" w:cs="Arial"/>
          <w:sz w:val="20"/>
        </w:rPr>
      </w:pPr>
      <w:r>
        <w:rPr>
          <w:rFonts w:cs="Arial" w:ascii="Arial" w:hAnsi="Arial"/>
          <w:sz w:val="20"/>
        </w:rPr>
      </w:r>
    </w:p>
    <w:p>
      <w:pPr>
        <w:pStyle w:val="SMcaption"/>
        <w:rPr>
          <w:rFonts w:ascii="Arial" w:hAnsi="Arial" w:cs="Arial"/>
          <w:b/>
          <w:b/>
          <w:sz w:val="20"/>
        </w:rPr>
      </w:pPr>
      <w:r>
        <w:rPr>
          <w:rFonts w:cs="Arial" w:ascii="Arial" w:hAnsi="Arial"/>
          <w:b/>
          <w:sz w:val="20"/>
        </w:rPr>
        <w:t>SI References</w:t>
      </w:r>
    </w:p>
    <w:p>
      <w:pPr>
        <w:pStyle w:val="SMcaption"/>
        <w:rPr>
          <w:rFonts w:ascii="aRial" w:hAnsi="aRial"/>
          <w:sz w:val="20"/>
          <w:szCs w:val="20"/>
        </w:rPr>
      </w:pPr>
      <w:r>
        <w:rPr>
          <w:rFonts w:ascii="aRial" w:hAnsi="aRial"/>
          <w:sz w:val="20"/>
          <w:szCs w:val="20"/>
        </w:rPr>
      </w:r>
    </w:p>
    <w:p>
      <w:pPr>
        <w:sectPr>
          <w:headerReference w:type="default" r:id="rId9"/>
          <w:footerReference w:type="default" r:id="rId10"/>
          <w:type w:val="nextPage"/>
          <w:pgSz w:w="12240" w:h="15840"/>
          <w:pgMar w:left="1800" w:right="1800" w:header="720" w:top="1440" w:footer="720" w:bottom="1440" w:gutter="0"/>
          <w:pgNumType w:start="1" w:fmt="decimal"/>
          <w:formProt w:val="false"/>
          <w:textDirection w:val="lrTb"/>
          <w:docGrid w:type="default" w:linePitch="360" w:charSpace="0"/>
        </w:sectPr>
      </w:pPr>
    </w:p>
    <w:p>
      <w:pPr>
        <w:pStyle w:val="Bibliography1"/>
        <w:rPr>
          <w:rFonts w:ascii="aRial" w:hAnsi="aRial"/>
          <w:sz w:val="20"/>
          <w:szCs w:val="20"/>
        </w:rPr>
      </w:pPr>
      <w:r>
        <w:rPr>
          <w:rFonts w:ascii="aRial" w:hAnsi="aRial"/>
          <w:sz w:val="20"/>
          <w:szCs w:val="20"/>
        </w:rPr>
        <w:t xml:space="preserve">1. </w:t>
        <w:tab/>
        <w:t xml:space="preserve">J. R. Kiniry, </w:t>
      </w:r>
      <w:r>
        <w:rPr>
          <w:rFonts w:ascii="aRial" w:hAnsi="aRial"/>
          <w:i/>
          <w:sz w:val="20"/>
          <w:szCs w:val="20"/>
        </w:rPr>
        <w:t>et al.</w:t>
      </w:r>
      <w:r>
        <w:rPr>
          <w:rFonts w:ascii="aRial" w:hAnsi="aRial"/>
          <w:sz w:val="20"/>
          <w:szCs w:val="20"/>
        </w:rPr>
        <w:t xml:space="preserve">, Switchgrass simulation by the ALMANAC model at diverse sites in the southern US. </w:t>
      </w:r>
      <w:r>
        <w:rPr>
          <w:rFonts w:ascii="aRial" w:hAnsi="aRial"/>
          <w:i/>
          <w:sz w:val="20"/>
          <w:szCs w:val="20"/>
        </w:rPr>
        <w:t>Biomass and Bioenergy</w:t>
      </w:r>
      <w:r>
        <w:rPr>
          <w:rFonts w:ascii="aRial" w:hAnsi="aRial"/>
          <w:sz w:val="20"/>
          <w:szCs w:val="20"/>
        </w:rPr>
        <w:t xml:space="preserve"> </w:t>
      </w:r>
      <w:r>
        <w:rPr>
          <w:rFonts w:ascii="aRial" w:hAnsi="aRial"/>
          <w:b/>
          <w:sz w:val="20"/>
          <w:szCs w:val="20"/>
        </w:rPr>
        <w:t>29</w:t>
      </w:r>
      <w:r>
        <w:rPr>
          <w:rFonts w:ascii="aRial" w:hAnsi="aRial"/>
          <w:sz w:val="20"/>
          <w:szCs w:val="20"/>
        </w:rPr>
        <w:t>, 419–425 (2005).</w:t>
      </w:r>
    </w:p>
    <w:p>
      <w:pPr>
        <w:pStyle w:val="Bibliography1"/>
        <w:rPr>
          <w:rFonts w:ascii="aRial" w:hAnsi="aRial"/>
          <w:sz w:val="20"/>
          <w:szCs w:val="20"/>
        </w:rPr>
      </w:pPr>
      <w:r>
        <w:rPr>
          <w:rFonts w:ascii="aRial" w:hAnsi="aRial"/>
          <w:sz w:val="20"/>
          <w:szCs w:val="20"/>
        </w:rPr>
        <w:t xml:space="preserve">2. </w:t>
        <w:tab/>
        <w:t xml:space="preserve">K. D. Behrman, J. R. Kiniry, M. Winchell, T. E. Juenger, T. H. Keitt, Spatial forecasting of switchgrass productivity under current and future climate change scenarios. </w:t>
      </w:r>
      <w:r>
        <w:rPr>
          <w:rFonts w:ascii="aRial" w:hAnsi="aRial"/>
          <w:i/>
          <w:sz w:val="20"/>
          <w:szCs w:val="20"/>
        </w:rPr>
        <w:t>Ecological Applications</w:t>
      </w:r>
      <w:r>
        <w:rPr>
          <w:rFonts w:ascii="aRial" w:hAnsi="aRial"/>
          <w:sz w:val="20"/>
          <w:szCs w:val="20"/>
        </w:rPr>
        <w:t xml:space="preserve"> </w:t>
      </w:r>
      <w:r>
        <w:rPr>
          <w:rFonts w:ascii="aRial" w:hAnsi="aRial"/>
          <w:b/>
          <w:sz w:val="20"/>
          <w:szCs w:val="20"/>
        </w:rPr>
        <w:t>23</w:t>
      </w:r>
      <w:r>
        <w:rPr>
          <w:rFonts w:ascii="aRial" w:hAnsi="aRial"/>
          <w:sz w:val="20"/>
          <w:szCs w:val="20"/>
        </w:rPr>
        <w:t>, 73–85 (2013).</w:t>
      </w:r>
    </w:p>
    <w:p>
      <w:pPr>
        <w:pStyle w:val="Bibliography1"/>
        <w:rPr>
          <w:rFonts w:ascii="aRial" w:hAnsi="aRial"/>
          <w:sz w:val="20"/>
          <w:szCs w:val="20"/>
        </w:rPr>
      </w:pPr>
      <w:r>
        <w:rPr>
          <w:rFonts w:ascii="aRial" w:hAnsi="aRial"/>
          <w:sz w:val="20"/>
          <w:szCs w:val="20"/>
        </w:rPr>
        <w:t xml:space="preserve">3. </w:t>
        <w:tab/>
        <w:t xml:space="preserve">P. M. VanRaden, </w:t>
      </w:r>
      <w:r>
        <w:rPr>
          <w:rFonts w:ascii="aRial" w:hAnsi="aRial"/>
          <w:i/>
          <w:sz w:val="20"/>
          <w:szCs w:val="20"/>
        </w:rPr>
        <w:t>et al.</w:t>
      </w:r>
      <w:r>
        <w:rPr>
          <w:rFonts w:ascii="aRial" w:hAnsi="aRial"/>
          <w:sz w:val="20"/>
          <w:szCs w:val="20"/>
        </w:rPr>
        <w:t xml:space="preserve">, Invited Review: Reliability of genomic predictions for North American Holstein bulls. </w:t>
      </w:r>
      <w:r>
        <w:rPr>
          <w:rFonts w:ascii="aRial" w:hAnsi="aRial"/>
          <w:i/>
          <w:sz w:val="20"/>
          <w:szCs w:val="20"/>
        </w:rPr>
        <w:t>Journal of Dairy Science</w:t>
      </w:r>
      <w:r>
        <w:rPr>
          <w:rFonts w:ascii="aRial" w:hAnsi="aRial"/>
          <w:sz w:val="20"/>
          <w:szCs w:val="20"/>
        </w:rPr>
        <w:t xml:space="preserve"> </w:t>
      </w:r>
      <w:r>
        <w:rPr>
          <w:rFonts w:ascii="aRial" w:hAnsi="aRial"/>
          <w:b/>
          <w:sz w:val="20"/>
          <w:szCs w:val="20"/>
        </w:rPr>
        <w:t>92</w:t>
      </w:r>
      <w:r>
        <w:rPr>
          <w:rFonts w:ascii="aRial" w:hAnsi="aRial"/>
          <w:sz w:val="20"/>
          <w:szCs w:val="20"/>
        </w:rPr>
        <w:t>, 16–24 (2009).</w:t>
      </w:r>
    </w:p>
    <w:p>
      <w:pPr>
        <w:pStyle w:val="Bibliography1"/>
        <w:rPr>
          <w:rFonts w:ascii="aRial" w:hAnsi="aRial"/>
          <w:sz w:val="20"/>
          <w:szCs w:val="20"/>
        </w:rPr>
      </w:pPr>
      <w:r>
        <w:rPr>
          <w:rFonts w:ascii="aRial" w:hAnsi="aRial"/>
          <w:sz w:val="20"/>
          <w:szCs w:val="20"/>
        </w:rPr>
        <w:t xml:space="preserve">4. </w:t>
        <w:tab/>
        <w:t xml:space="preserve">S. M. Urbut, G. Wang, P. Carbonetto, M. Stephens, Flexible statistical methods for estimating and testing effects in genomic studies with multiple conditions. </w:t>
      </w:r>
      <w:r>
        <w:rPr>
          <w:rFonts w:ascii="aRial" w:hAnsi="aRial"/>
          <w:i/>
          <w:sz w:val="20"/>
          <w:szCs w:val="20"/>
        </w:rPr>
        <w:t>Nat Genet</w:t>
      </w:r>
      <w:r>
        <w:rPr>
          <w:rFonts w:ascii="aRial" w:hAnsi="aRial"/>
          <w:sz w:val="20"/>
          <w:szCs w:val="20"/>
        </w:rPr>
        <w:t xml:space="preserve"> </w:t>
      </w:r>
      <w:r>
        <w:rPr>
          <w:rFonts w:ascii="aRial" w:hAnsi="aRial"/>
          <w:b/>
          <w:sz w:val="20"/>
          <w:szCs w:val="20"/>
        </w:rPr>
        <w:t>51</w:t>
      </w:r>
      <w:r>
        <w:rPr>
          <w:rFonts w:ascii="aRial" w:hAnsi="aRial"/>
          <w:sz w:val="20"/>
          <w:szCs w:val="20"/>
        </w:rPr>
        <w:t>, 187–195 (2019).</w:t>
      </w:r>
    </w:p>
    <w:p>
      <w:pPr>
        <w:pStyle w:val="Bibliography1"/>
        <w:rPr>
          <w:rFonts w:ascii="aRial" w:hAnsi="aRial"/>
          <w:sz w:val="20"/>
          <w:szCs w:val="20"/>
        </w:rPr>
      </w:pPr>
      <w:r>
        <w:rPr>
          <w:rFonts w:ascii="aRial" w:hAnsi="aRial"/>
          <w:sz w:val="20"/>
          <w:szCs w:val="20"/>
        </w:rPr>
        <w:t xml:space="preserve">5. </w:t>
        <w:tab/>
        <w:t xml:space="preserve">J. T. Lovell, </w:t>
      </w:r>
      <w:r>
        <w:rPr>
          <w:rFonts w:ascii="aRial" w:hAnsi="aRial"/>
          <w:i/>
          <w:sz w:val="20"/>
          <w:szCs w:val="20"/>
        </w:rPr>
        <w:t>et al.</w:t>
      </w:r>
      <w:r>
        <w:rPr>
          <w:rFonts w:ascii="aRial" w:hAnsi="aRial"/>
          <w:sz w:val="20"/>
          <w:szCs w:val="20"/>
        </w:rPr>
        <w:t xml:space="preserve">, Genomic mechanisms of climate adaptation in polyploid bioenergy switchgrass. </w:t>
      </w:r>
      <w:r>
        <w:rPr>
          <w:rFonts w:ascii="aRial" w:hAnsi="aRial"/>
          <w:i/>
          <w:sz w:val="20"/>
          <w:szCs w:val="20"/>
        </w:rPr>
        <w:t>Nature</w:t>
      </w:r>
      <w:r>
        <w:rPr>
          <w:rFonts w:ascii="aRial" w:hAnsi="aRial"/>
          <w:sz w:val="20"/>
          <w:szCs w:val="20"/>
        </w:rPr>
        <w:t>, 1–7 (2021).</w:t>
      </w:r>
    </w:p>
    <w:p>
      <w:pPr>
        <w:pStyle w:val="Bibliography1"/>
        <w:rPr>
          <w:rFonts w:ascii="aRial" w:hAnsi="aRial"/>
          <w:sz w:val="20"/>
          <w:szCs w:val="20"/>
        </w:rPr>
      </w:pPr>
      <w:r>
        <w:rPr>
          <w:rFonts w:ascii="aRial" w:hAnsi="aRial"/>
          <w:sz w:val="20"/>
          <w:szCs w:val="20"/>
        </w:rPr>
        <w:t xml:space="preserve">6. </w:t>
        <w:tab/>
        <w:t xml:space="preserve">A. Korte, A. Farlow, The advantages and limitations of trait analysis with GWAS: a review. </w:t>
      </w:r>
      <w:r>
        <w:rPr>
          <w:rFonts w:ascii="aRial" w:hAnsi="aRial"/>
          <w:i/>
          <w:sz w:val="20"/>
          <w:szCs w:val="20"/>
        </w:rPr>
        <w:t>Plant Methods</w:t>
      </w:r>
      <w:r>
        <w:rPr>
          <w:rFonts w:ascii="aRial" w:hAnsi="aRial"/>
          <w:sz w:val="20"/>
          <w:szCs w:val="20"/>
        </w:rPr>
        <w:t xml:space="preserve"> </w:t>
      </w:r>
      <w:r>
        <w:rPr>
          <w:rFonts w:ascii="aRial" w:hAnsi="aRial"/>
          <w:b/>
          <w:sz w:val="20"/>
          <w:szCs w:val="20"/>
        </w:rPr>
        <w:t>9</w:t>
      </w:r>
      <w:r>
        <w:rPr>
          <w:rFonts w:ascii="aRial" w:hAnsi="aRial"/>
          <w:sz w:val="20"/>
          <w:szCs w:val="20"/>
        </w:rPr>
        <w:t>, 29 (2013).</w:t>
      </w:r>
    </w:p>
    <w:p>
      <w:pPr>
        <w:pStyle w:val="Bibliography1"/>
        <w:rPr>
          <w:rFonts w:ascii="aRial" w:hAnsi="aRial"/>
          <w:sz w:val="20"/>
          <w:szCs w:val="20"/>
        </w:rPr>
      </w:pPr>
      <w:r>
        <w:rPr>
          <w:rFonts w:ascii="aRial" w:hAnsi="aRial"/>
          <w:sz w:val="20"/>
          <w:szCs w:val="20"/>
        </w:rPr>
        <w:t xml:space="preserve">7. </w:t>
        <w:tab/>
        <w:t xml:space="preserve">E. R. Milano, D. B. Lowry, T. E. Juenger, The Genetic Basis of Upland/Lowland Ecotype Divergence in Switchgrass (Panicum virgatum). </w:t>
      </w:r>
      <w:r>
        <w:rPr>
          <w:rFonts w:ascii="aRial" w:hAnsi="aRial"/>
          <w:i/>
          <w:sz w:val="20"/>
          <w:szCs w:val="20"/>
        </w:rPr>
        <w:t>G3 Genes|Genomes|Genetics</w:t>
      </w:r>
      <w:r>
        <w:rPr>
          <w:rFonts w:ascii="aRial" w:hAnsi="aRial"/>
          <w:sz w:val="20"/>
          <w:szCs w:val="20"/>
        </w:rPr>
        <w:t xml:space="preserve"> </w:t>
      </w:r>
      <w:r>
        <w:rPr>
          <w:rFonts w:ascii="aRial" w:hAnsi="aRial"/>
          <w:b/>
          <w:sz w:val="20"/>
          <w:szCs w:val="20"/>
        </w:rPr>
        <w:t>6</w:t>
      </w:r>
      <w:r>
        <w:rPr>
          <w:rFonts w:ascii="aRial" w:hAnsi="aRial"/>
          <w:sz w:val="20"/>
          <w:szCs w:val="20"/>
        </w:rPr>
        <w:t>, 3561–3570 (2016).</w:t>
      </w:r>
    </w:p>
    <w:p>
      <w:pPr>
        <w:pStyle w:val="Bibliography1"/>
        <w:rPr>
          <w:rFonts w:ascii="aRial" w:hAnsi="aRial"/>
          <w:sz w:val="20"/>
          <w:szCs w:val="20"/>
        </w:rPr>
      </w:pPr>
      <w:r>
        <w:rPr>
          <w:rFonts w:ascii="aRial" w:hAnsi="aRial"/>
          <w:sz w:val="20"/>
          <w:szCs w:val="20"/>
        </w:rPr>
        <w:t xml:space="preserve">8. </w:t>
        <w:tab/>
        <w:t xml:space="preserve">K. W. Broman, </w:t>
      </w:r>
      <w:r>
        <w:rPr>
          <w:rFonts w:ascii="aRial" w:hAnsi="aRial"/>
          <w:i/>
          <w:sz w:val="20"/>
          <w:szCs w:val="20"/>
        </w:rPr>
        <w:t>et al.</w:t>
      </w:r>
      <w:r>
        <w:rPr>
          <w:rFonts w:ascii="aRial" w:hAnsi="aRial"/>
          <w:sz w:val="20"/>
          <w:szCs w:val="20"/>
        </w:rPr>
        <w:t xml:space="preserve">, R/qtl2: Software for Mapping Quantitative Trait Loci with High-Dimensional Data and Multiparent Populations. </w:t>
      </w:r>
      <w:r>
        <w:rPr>
          <w:rFonts w:ascii="aRial" w:hAnsi="aRial"/>
          <w:i/>
          <w:sz w:val="20"/>
          <w:szCs w:val="20"/>
        </w:rPr>
        <w:t>Genetics</w:t>
      </w:r>
      <w:r>
        <w:rPr>
          <w:rFonts w:ascii="aRial" w:hAnsi="aRial"/>
          <w:sz w:val="20"/>
          <w:szCs w:val="20"/>
        </w:rPr>
        <w:t xml:space="preserve"> </w:t>
      </w:r>
      <w:r>
        <w:rPr>
          <w:rFonts w:ascii="aRial" w:hAnsi="aRial"/>
          <w:b/>
          <w:sz w:val="20"/>
          <w:szCs w:val="20"/>
        </w:rPr>
        <w:t>211</w:t>
      </w:r>
      <w:r>
        <w:rPr>
          <w:rFonts w:ascii="aRial" w:hAnsi="aRial"/>
          <w:sz w:val="20"/>
          <w:szCs w:val="20"/>
        </w:rPr>
        <w:t>, 495–502 (2019).</w:t>
      </w:r>
    </w:p>
    <w:p>
      <w:pPr>
        <w:sectPr>
          <w:type w:val="continuous"/>
          <w:pgSz w:w="12240" w:h="15840"/>
          <w:pgMar w:left="1800" w:right="1800" w:header="720" w:top="1440" w:footer="720" w:bottom="1440" w:gutter="0"/>
          <w:formProt w:val="false"/>
          <w:textDirection w:val="lrTb"/>
          <w:docGrid w:type="default" w:linePitch="360" w:charSpace="0"/>
        </w:sectPr>
      </w:pPr>
    </w:p>
    <w:p>
      <w:pPr>
        <w:pStyle w:val="SMcaption"/>
        <w:rPr>
          <w:rFonts w:ascii="aRial" w:hAnsi="aRial"/>
          <w:sz w:val="20"/>
          <w:szCs w:val="20"/>
        </w:rPr>
      </w:pPr>
      <w:r>
        <w:rPr>
          <w:rFonts w:ascii="aRial" w:hAnsi="aRial"/>
          <w:sz w:val="20"/>
          <w:szCs w:val="20"/>
        </w:rPr>
      </w:r>
    </w:p>
    <w:sectPr>
      <w:headerReference w:type="default" r:id="rId11"/>
      <w:footerReference w:type="default" r:id="rId12"/>
      <w:type w:val="continuous"/>
      <w:pgSz w:w="12240" w:h="15840"/>
      <w:pgMar w:left="1800" w:right="180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imes">
    <w:altName w:val="Times New Roman"/>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Arial">
    <w:charset w:val="01"/>
    <w:family w:val="roman"/>
    <w:pitch w:val="variable"/>
  </w:font>
  <w:font w:name="aRial">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0"/>
      </w:rPr>
    </w:pPr>
    <w:r>
      <w:rPr>
        <w:sz w:val="20"/>
      </w:rPr>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0"/>
      </w:rPr>
    </w:pPr>
    <w:r>
      <w:rPr>
        <w:sz w:val="20"/>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630ea"/>
    <w:pPr>
      <w:widowControl/>
      <w:bidi w:val="0"/>
      <w:spacing w:before="0" w:after="0"/>
      <w:jc w:val="left"/>
    </w:pPr>
    <w:rPr>
      <w:rFonts w:ascii="Times New Roman" w:hAnsi="Times New Roman" w:eastAsia="Times New Roman" w:cs="Times New Roman"/>
      <w:color w:val="auto"/>
      <w:kern w:val="0"/>
      <w:sz w:val="24"/>
      <w:szCs w:val="20"/>
      <w:lang w:val="en-US" w:eastAsia="en-US" w:bidi="ar-SA"/>
    </w:rPr>
  </w:style>
  <w:style w:type="paragraph" w:styleId="Heading1">
    <w:name w:val="Heading 1"/>
    <w:basedOn w:val="Normal"/>
    <w:next w:val="Normal"/>
    <w:link w:val="Heading1Char"/>
    <w:semiHidden/>
    <w:qFormat/>
    <w:rsid w:val="00b43b31"/>
    <w:pPr>
      <w:keepNext w:val="true"/>
      <w:spacing w:before="240" w:after="60"/>
      <w:outlineLvl w:val="0"/>
    </w:pPr>
    <w:rPr>
      <w:b/>
      <w:bCs/>
      <w:kern w:val="2"/>
      <w:szCs w:val="24"/>
    </w:rPr>
  </w:style>
  <w:style w:type="paragraph" w:styleId="Heading2">
    <w:name w:val="Heading 2"/>
    <w:basedOn w:val="Normal"/>
    <w:next w:val="Normal"/>
    <w:link w:val="Heading2Char"/>
    <w:semiHidden/>
    <w:qFormat/>
    <w:rsid w:val="007411a1"/>
    <w:pPr>
      <w:keepNext w:val="true"/>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val="true"/>
      <w:spacing w:lineRule="auto" w:line="480"/>
      <w:outlineLvl w:val="2"/>
    </w:pPr>
    <w:rPr>
      <w:rFonts w:ascii="Times" w:hAnsi="Times" w:eastAsia="Times"/>
      <w:b/>
    </w:rPr>
  </w:style>
  <w:style w:type="paragraph" w:styleId="Heading4">
    <w:name w:val="Heading 4"/>
    <w:basedOn w:val="Normal"/>
    <w:next w:val="Normal"/>
    <w:semiHidden/>
    <w:qFormat/>
    <w:rsid w:val="00c600d9"/>
    <w:pPr>
      <w:keepNext w:val="true"/>
      <w:spacing w:lineRule="auto" w:line="480"/>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sid w:val="00477182"/>
    <w:rPr/>
  </w:style>
  <w:style w:type="character" w:styleId="Heading1Char" w:customStyle="1">
    <w:name w:val="Heading 1 Char"/>
    <w:basedOn w:val="DefaultParagraphFont"/>
    <w:link w:val="Heading1"/>
    <w:semiHidden/>
    <w:qFormat/>
    <w:rsid w:val="00ff04e3"/>
    <w:rPr>
      <w:b/>
      <w:bCs/>
      <w:kern w:val="2"/>
      <w:sz w:val="24"/>
      <w:szCs w:val="24"/>
    </w:rPr>
  </w:style>
  <w:style w:type="character" w:styleId="Heading2Char" w:customStyle="1">
    <w:name w:val="Heading 2 Char"/>
    <w:basedOn w:val="DefaultParagraphFont"/>
    <w:link w:val="Heading2"/>
    <w:semiHidden/>
    <w:qFormat/>
    <w:rsid w:val="00ff04e3"/>
    <w:rPr>
      <w:rFonts w:ascii="Cambria" w:hAnsi="Cambria"/>
      <w:b/>
      <w:bCs/>
      <w:i/>
      <w:iCs/>
      <w:sz w:val="28"/>
      <w:szCs w:val="28"/>
    </w:rPr>
  </w:style>
  <w:style w:type="character" w:styleId="Heading5Char" w:customStyle="1">
    <w:name w:val="Heading 5 Char"/>
    <w:basedOn w:val="DefaultParagraphFont"/>
    <w:link w:val="Heading5"/>
    <w:semiHidden/>
    <w:qFormat/>
    <w:rsid w:val="00ff04e3"/>
    <w:rPr>
      <w:rFonts w:ascii="Calibri" w:hAnsi="Calibri"/>
      <w:b/>
      <w:bCs/>
      <w:i/>
      <w:iCs/>
      <w:sz w:val="26"/>
      <w:szCs w:val="26"/>
    </w:rPr>
  </w:style>
  <w:style w:type="character" w:styleId="Heading6Char" w:customStyle="1">
    <w:name w:val="Heading 6 Char"/>
    <w:basedOn w:val="DefaultParagraphFont"/>
    <w:link w:val="Heading6"/>
    <w:semiHidden/>
    <w:qFormat/>
    <w:rsid w:val="00ff04e3"/>
    <w:rPr>
      <w:rFonts w:ascii="Calibri" w:hAnsi="Calibri"/>
      <w:b/>
      <w:bCs/>
      <w:sz w:val="22"/>
      <w:szCs w:val="22"/>
    </w:rPr>
  </w:style>
  <w:style w:type="character" w:styleId="Heading7Char" w:customStyle="1">
    <w:name w:val="Heading 7 Char"/>
    <w:basedOn w:val="DefaultParagraphFont"/>
    <w:link w:val="Heading7"/>
    <w:semiHidden/>
    <w:qFormat/>
    <w:rsid w:val="00ff04e3"/>
    <w:rPr>
      <w:rFonts w:ascii="Calibri" w:hAnsi="Calibri"/>
      <w:sz w:val="24"/>
      <w:szCs w:val="24"/>
    </w:rPr>
  </w:style>
  <w:style w:type="character" w:styleId="Heading8Char" w:customStyle="1">
    <w:name w:val="Heading 8 Char"/>
    <w:basedOn w:val="DefaultParagraphFont"/>
    <w:link w:val="Heading8"/>
    <w:semiHidden/>
    <w:qFormat/>
    <w:rsid w:val="00ff04e3"/>
    <w:rPr>
      <w:rFonts w:ascii="Calibri" w:hAnsi="Calibri"/>
      <w:i/>
      <w:iCs/>
      <w:sz w:val="24"/>
      <w:szCs w:val="24"/>
    </w:rPr>
  </w:style>
  <w:style w:type="character" w:styleId="Heading9Char" w:customStyle="1">
    <w:name w:val="Heading 9 Char"/>
    <w:basedOn w:val="DefaultParagraphFont"/>
    <w:link w:val="Heading9"/>
    <w:semiHidden/>
    <w:qFormat/>
    <w:rsid w:val="00ff04e3"/>
    <w:rPr>
      <w:rFonts w:ascii="Cambria" w:hAnsi="Cambria"/>
      <w:sz w:val="22"/>
      <w:szCs w:val="22"/>
    </w:rPr>
  </w:style>
  <w:style w:type="character" w:styleId="BalloonTextChar" w:customStyle="1">
    <w:name w:val="Balloon Text Char"/>
    <w:basedOn w:val="DefaultParagraphFont"/>
    <w:link w:val="BalloonText"/>
    <w:semiHidden/>
    <w:qFormat/>
    <w:rsid w:val="00ff04e3"/>
    <w:rPr>
      <w:rFonts w:ascii="Tahoma" w:hAnsi="Tahoma" w:cs="Tahoma"/>
      <w:sz w:val="16"/>
      <w:szCs w:val="16"/>
    </w:rPr>
  </w:style>
  <w:style w:type="character" w:styleId="BodyTextChar" w:customStyle="1">
    <w:name w:val="Body Text Char"/>
    <w:basedOn w:val="DefaultParagraphFont"/>
    <w:link w:val="BodyText"/>
    <w:semiHidden/>
    <w:qFormat/>
    <w:rsid w:val="00ff04e3"/>
    <w:rPr>
      <w:sz w:val="24"/>
    </w:rPr>
  </w:style>
  <w:style w:type="character" w:styleId="BodyText2Char" w:customStyle="1">
    <w:name w:val="Body Text 2 Char"/>
    <w:basedOn w:val="DefaultParagraphFont"/>
    <w:link w:val="BodyText2"/>
    <w:semiHidden/>
    <w:qFormat/>
    <w:rsid w:val="00ff04e3"/>
    <w:rPr>
      <w:sz w:val="24"/>
    </w:rPr>
  </w:style>
  <w:style w:type="character" w:styleId="BodyText3Char" w:customStyle="1">
    <w:name w:val="Body Text 3 Char"/>
    <w:basedOn w:val="DefaultParagraphFont"/>
    <w:link w:val="BodyText3"/>
    <w:semiHidden/>
    <w:qFormat/>
    <w:rsid w:val="00ff04e3"/>
    <w:rPr>
      <w:sz w:val="16"/>
      <w:szCs w:val="16"/>
    </w:rPr>
  </w:style>
  <w:style w:type="character" w:styleId="BodyTextFirstIndentChar" w:customStyle="1">
    <w:name w:val="Body Text First Indent Char"/>
    <w:basedOn w:val="BodyTextChar"/>
    <w:link w:val="BodyTextFirstIndent"/>
    <w:semiHidden/>
    <w:qFormat/>
    <w:rsid w:val="00ff04e3"/>
    <w:rPr>
      <w:sz w:val="24"/>
    </w:rPr>
  </w:style>
  <w:style w:type="character" w:styleId="BodyTextIndentChar" w:customStyle="1">
    <w:name w:val="Body Text Indent Char"/>
    <w:basedOn w:val="DefaultParagraphFont"/>
    <w:link w:val="BodyTextIndent"/>
    <w:semiHidden/>
    <w:qFormat/>
    <w:rsid w:val="00ff04e3"/>
    <w:rPr>
      <w:sz w:val="24"/>
    </w:rPr>
  </w:style>
  <w:style w:type="character" w:styleId="BodyTextFirstIndent2Char" w:customStyle="1">
    <w:name w:val="Body Text First Indent 2 Char"/>
    <w:basedOn w:val="BodyTextIndentChar"/>
    <w:link w:val="BodyTextFirstIndent2"/>
    <w:semiHidden/>
    <w:qFormat/>
    <w:rsid w:val="00ff04e3"/>
    <w:rPr>
      <w:sz w:val="24"/>
    </w:rPr>
  </w:style>
  <w:style w:type="character" w:styleId="BodyTextIndent2Char" w:customStyle="1">
    <w:name w:val="Body Text Indent 2 Char"/>
    <w:basedOn w:val="DefaultParagraphFont"/>
    <w:link w:val="BodyTextIndent2"/>
    <w:semiHidden/>
    <w:qFormat/>
    <w:rsid w:val="00ff04e3"/>
    <w:rPr>
      <w:sz w:val="24"/>
    </w:rPr>
  </w:style>
  <w:style w:type="character" w:styleId="BodyTextIndent3Char" w:customStyle="1">
    <w:name w:val="Body Text Indent 3 Char"/>
    <w:basedOn w:val="DefaultParagraphFont"/>
    <w:link w:val="BodyTextIndent3"/>
    <w:semiHidden/>
    <w:qFormat/>
    <w:rsid w:val="00ff04e3"/>
    <w:rPr>
      <w:sz w:val="16"/>
      <w:szCs w:val="16"/>
    </w:rPr>
  </w:style>
  <w:style w:type="character" w:styleId="ClosingChar" w:customStyle="1">
    <w:name w:val="Closing Char"/>
    <w:basedOn w:val="DefaultParagraphFont"/>
    <w:link w:val="Closing"/>
    <w:semiHidden/>
    <w:qFormat/>
    <w:rsid w:val="00ff04e3"/>
    <w:rPr>
      <w:sz w:val="24"/>
    </w:rPr>
  </w:style>
  <w:style w:type="character" w:styleId="CommentTextChar" w:customStyle="1">
    <w:name w:val="Comment Text Char"/>
    <w:basedOn w:val="DefaultParagraphFont"/>
    <w:link w:val="CommentText"/>
    <w:semiHidden/>
    <w:qFormat/>
    <w:rsid w:val="00ff04e3"/>
    <w:rPr/>
  </w:style>
  <w:style w:type="character" w:styleId="CommentSubjectChar" w:customStyle="1">
    <w:name w:val="Comment Subject Char"/>
    <w:basedOn w:val="CommentTextChar"/>
    <w:link w:val="CommentSubject"/>
    <w:semiHidden/>
    <w:qFormat/>
    <w:rsid w:val="00ff04e3"/>
    <w:rPr>
      <w:b/>
      <w:bCs/>
    </w:rPr>
  </w:style>
  <w:style w:type="character" w:styleId="DateChar" w:customStyle="1">
    <w:name w:val="Date Char"/>
    <w:basedOn w:val="DefaultParagraphFont"/>
    <w:link w:val="Date"/>
    <w:semiHidden/>
    <w:qFormat/>
    <w:rsid w:val="00ff04e3"/>
    <w:rPr>
      <w:sz w:val="24"/>
    </w:rPr>
  </w:style>
  <w:style w:type="character" w:styleId="DocumentMapChar" w:customStyle="1">
    <w:name w:val="Document Map Char"/>
    <w:basedOn w:val="DefaultParagraphFont"/>
    <w:link w:val="DocumentMap"/>
    <w:semiHidden/>
    <w:qFormat/>
    <w:rsid w:val="00ff04e3"/>
    <w:rPr>
      <w:rFonts w:ascii="Tahoma" w:hAnsi="Tahoma" w:cs="Tahoma"/>
      <w:sz w:val="16"/>
      <w:szCs w:val="16"/>
    </w:rPr>
  </w:style>
  <w:style w:type="character" w:styleId="EmailSignatureChar" w:customStyle="1">
    <w:name w:val="E-mail Signature Char"/>
    <w:basedOn w:val="DefaultParagraphFont"/>
    <w:link w:val="E-mailSignature"/>
    <w:semiHidden/>
    <w:qFormat/>
    <w:rsid w:val="00ff04e3"/>
    <w:rPr>
      <w:sz w:val="24"/>
    </w:rPr>
  </w:style>
  <w:style w:type="character" w:styleId="EndnoteTextChar" w:customStyle="1">
    <w:name w:val="Endnote Text Char"/>
    <w:basedOn w:val="DefaultParagraphFont"/>
    <w:link w:val="EndnoteText"/>
    <w:semiHidden/>
    <w:qFormat/>
    <w:rsid w:val="00ff04e3"/>
    <w:rPr/>
  </w:style>
  <w:style w:type="character" w:styleId="FooterChar" w:customStyle="1">
    <w:name w:val="Footer Char"/>
    <w:basedOn w:val="DefaultParagraphFont"/>
    <w:link w:val="Footer"/>
    <w:semiHidden/>
    <w:qFormat/>
    <w:rsid w:val="00ff04e3"/>
    <w:rPr>
      <w:sz w:val="24"/>
    </w:rPr>
  </w:style>
  <w:style w:type="character" w:styleId="FootnoteTextChar" w:customStyle="1">
    <w:name w:val="Footnote Text Char"/>
    <w:basedOn w:val="DefaultParagraphFont"/>
    <w:link w:val="FootnoteText"/>
    <w:semiHidden/>
    <w:qFormat/>
    <w:rsid w:val="00ff04e3"/>
    <w:rPr/>
  </w:style>
  <w:style w:type="character" w:styleId="HeaderChar" w:customStyle="1">
    <w:name w:val="Header Char"/>
    <w:basedOn w:val="DefaultParagraphFont"/>
    <w:link w:val="Header"/>
    <w:semiHidden/>
    <w:qFormat/>
    <w:rsid w:val="00ff04e3"/>
    <w:rPr>
      <w:sz w:val="24"/>
    </w:rPr>
  </w:style>
  <w:style w:type="character" w:styleId="HTMLAddressChar" w:customStyle="1">
    <w:name w:val="HTML Address Char"/>
    <w:basedOn w:val="DefaultParagraphFont"/>
    <w:link w:val="HTMLAddress"/>
    <w:semiHidden/>
    <w:qFormat/>
    <w:rsid w:val="00ff04e3"/>
    <w:rPr>
      <w:i/>
      <w:iCs/>
      <w:sz w:val="24"/>
    </w:rPr>
  </w:style>
  <w:style w:type="character" w:styleId="HTMLPreformattedChar" w:customStyle="1">
    <w:name w:val="HTML Preformatted Char"/>
    <w:basedOn w:val="DefaultParagraphFont"/>
    <w:link w:val="HTMLPreformatted"/>
    <w:semiHidden/>
    <w:qFormat/>
    <w:rsid w:val="00ff04e3"/>
    <w:rPr>
      <w:rFonts w:ascii="Courier New" w:hAnsi="Courier New" w:cs="Courier New"/>
    </w:rPr>
  </w:style>
  <w:style w:type="character" w:styleId="IntenseQuoteChar" w:customStyle="1">
    <w:name w:val="Intense Quote Char"/>
    <w:basedOn w:val="DefaultParagraphFont"/>
    <w:link w:val="IntenseQuote"/>
    <w:uiPriority w:val="30"/>
    <w:semiHidden/>
    <w:qFormat/>
    <w:rsid w:val="00ff04e3"/>
    <w:rPr>
      <w:b/>
      <w:bCs/>
      <w:i/>
      <w:iCs/>
      <w:color w:val="4F81BD"/>
      <w:sz w:val="24"/>
    </w:rPr>
  </w:style>
  <w:style w:type="character" w:styleId="MacroTextChar" w:customStyle="1">
    <w:name w:val="Macro Text Char"/>
    <w:basedOn w:val="DefaultParagraphFont"/>
    <w:link w:val="MacroText"/>
    <w:semiHidden/>
    <w:qFormat/>
    <w:rsid w:val="00ff04e3"/>
    <w:rPr>
      <w:rFonts w:ascii="Courier New" w:hAnsi="Courier New" w:cs="Courier New"/>
      <w:lang w:val="en-US" w:eastAsia="en-US" w:bidi="ar-SA"/>
    </w:rPr>
  </w:style>
  <w:style w:type="character" w:styleId="MessageHeaderChar" w:customStyle="1">
    <w:name w:val="Message Header Char"/>
    <w:basedOn w:val="DefaultParagraphFont"/>
    <w:link w:val="MessageHeader"/>
    <w:semiHidden/>
    <w:qFormat/>
    <w:rsid w:val="00ff04e3"/>
    <w:rPr>
      <w:rFonts w:ascii="Cambria" w:hAnsi="Cambria"/>
      <w:sz w:val="24"/>
      <w:szCs w:val="24"/>
      <w:shd w:fill="CCCCCC" w:val="clear"/>
    </w:rPr>
  </w:style>
  <w:style w:type="character" w:styleId="NoteHeadingChar" w:customStyle="1">
    <w:name w:val="Note Heading Char"/>
    <w:basedOn w:val="DefaultParagraphFont"/>
    <w:link w:val="NoteHeading"/>
    <w:semiHidden/>
    <w:qFormat/>
    <w:rsid w:val="00ff04e3"/>
    <w:rPr>
      <w:sz w:val="24"/>
    </w:rPr>
  </w:style>
  <w:style w:type="character" w:styleId="PlainTextChar" w:customStyle="1">
    <w:name w:val="Plain Text Char"/>
    <w:basedOn w:val="DefaultParagraphFont"/>
    <w:link w:val="PlainText"/>
    <w:semiHidden/>
    <w:qFormat/>
    <w:rsid w:val="00ff04e3"/>
    <w:rPr>
      <w:rFonts w:ascii="Courier New" w:hAnsi="Courier New" w:cs="Courier New"/>
    </w:rPr>
  </w:style>
  <w:style w:type="character" w:styleId="QuoteChar" w:customStyle="1">
    <w:name w:val="Quote Char"/>
    <w:basedOn w:val="DefaultParagraphFont"/>
    <w:link w:val="Quote"/>
    <w:uiPriority w:val="29"/>
    <w:semiHidden/>
    <w:qFormat/>
    <w:rsid w:val="00ff04e3"/>
    <w:rPr>
      <w:i/>
      <w:iCs/>
      <w:color w:val="000000"/>
      <w:sz w:val="24"/>
    </w:rPr>
  </w:style>
  <w:style w:type="character" w:styleId="SalutationChar" w:customStyle="1">
    <w:name w:val="Salutation Char"/>
    <w:basedOn w:val="DefaultParagraphFont"/>
    <w:link w:val="Salutation"/>
    <w:semiHidden/>
    <w:qFormat/>
    <w:rsid w:val="00ff04e3"/>
    <w:rPr>
      <w:sz w:val="24"/>
    </w:rPr>
  </w:style>
  <w:style w:type="character" w:styleId="SignatureChar" w:customStyle="1">
    <w:name w:val="Signature Char"/>
    <w:basedOn w:val="DefaultParagraphFont"/>
    <w:link w:val="Signature"/>
    <w:semiHidden/>
    <w:qFormat/>
    <w:rsid w:val="00ff04e3"/>
    <w:rPr>
      <w:sz w:val="24"/>
    </w:rPr>
  </w:style>
  <w:style w:type="character" w:styleId="SubtitleChar" w:customStyle="1">
    <w:name w:val="Subtitle Char"/>
    <w:basedOn w:val="DefaultParagraphFont"/>
    <w:link w:val="Subtitle"/>
    <w:semiHidden/>
    <w:qFormat/>
    <w:rsid w:val="00ff04e3"/>
    <w:rPr>
      <w:rFonts w:ascii="Cambria" w:hAnsi="Cambria"/>
      <w:sz w:val="24"/>
      <w:szCs w:val="24"/>
    </w:rPr>
  </w:style>
  <w:style w:type="character" w:styleId="TitleChar" w:customStyle="1">
    <w:name w:val="Title Char"/>
    <w:basedOn w:val="DefaultParagraphFont"/>
    <w:link w:val="Title"/>
    <w:semiHidden/>
    <w:qFormat/>
    <w:rsid w:val="00ff04e3"/>
    <w:rPr>
      <w:rFonts w:ascii="Cambria" w:hAnsi="Cambria"/>
      <w:b/>
      <w:bCs/>
      <w:kern w:val="2"/>
      <w:sz w:val="32"/>
      <w:szCs w:val="32"/>
    </w:rPr>
  </w:style>
  <w:style w:type="character" w:styleId="Internet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Annotationreference">
    <w:name w:val="annotation reference"/>
    <w:basedOn w:val="DefaultParagraphFont"/>
    <w:semiHidden/>
    <w:qFormat/>
    <w:rsid w:val="009258b8"/>
    <w:rPr>
      <w:sz w:val="16"/>
      <w:szCs w:val="16"/>
    </w:rPr>
  </w:style>
  <w:style w:type="character" w:styleId="VisitedInternetLink">
    <w:name w:val="FollowedHyperlink"/>
    <w:basedOn w:val="DefaultParagraphFont"/>
    <w:semiHidden/>
    <w:unhideWhenUsed/>
    <w:rsid w:val="00611a19"/>
    <w:rPr>
      <w:color w:val="800080"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semiHidden/>
    <w:rsid w:val="00405336"/>
    <w:pPr>
      <w:spacing w:before="0" w:after="120"/>
    </w:pPr>
    <w:rPr/>
  </w:style>
  <w:style w:type="paragraph" w:styleId="List">
    <w:name w:val="List"/>
    <w:basedOn w:val="Normal"/>
    <w:semiHidden/>
    <w:rsid w:val="00405336"/>
    <w:pPr>
      <w:spacing w:before="0" w:after="0"/>
      <w:ind w:left="360" w:hanging="360"/>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MHeading" w:customStyle="1">
    <w:name w:val="SM Heading"/>
    <w:basedOn w:val="Heading1"/>
    <w:qFormat/>
    <w:rsid w:val="00f74f95"/>
    <w:pPr/>
    <w:rPr/>
  </w:style>
  <w:style w:type="paragraph" w:styleId="SMSubheading" w:customStyle="1">
    <w:name w:val="SM Subheading"/>
    <w:basedOn w:val="Normal"/>
    <w:qFormat/>
    <w:rsid w:val="00b9440a"/>
    <w:pPr/>
    <w:rPr>
      <w:u w:val="single"/>
    </w:rPr>
  </w:style>
  <w:style w:type="paragraph" w:styleId="SMText" w:customStyle="1">
    <w:name w:val="SM Text"/>
    <w:basedOn w:val="Normal"/>
    <w:qFormat/>
    <w:rsid w:val="00b9440a"/>
    <w:pPr>
      <w:ind w:firstLine="480"/>
    </w:pPr>
    <w:rPr/>
  </w:style>
  <w:style w:type="paragraph" w:styleId="SMcaption" w:customStyle="1">
    <w:name w:val="SM caption"/>
    <w:basedOn w:val="SMText"/>
    <w:qFormat/>
    <w:rsid w:val="00b9440a"/>
    <w:pPr>
      <w:ind w:hanging="0"/>
    </w:pPr>
    <w:rPr/>
  </w:style>
  <w:style w:type="paragraph" w:styleId="BalloonText">
    <w:name w:val="Balloon Text"/>
    <w:basedOn w:val="Normal"/>
    <w:link w:val="BalloonTextChar"/>
    <w:semiHidden/>
    <w:qFormat/>
    <w:rsid w:val="00405336"/>
    <w:pPr/>
    <w:rPr>
      <w:rFonts w:ascii="Tahoma" w:hAnsi="Tahoma" w:cs="Tahoma"/>
      <w:sz w:val="16"/>
      <w:szCs w:val="16"/>
    </w:rPr>
  </w:style>
  <w:style w:type="paragraph" w:styleId="Bibliography">
    <w:name w:val="Bibliography"/>
    <w:basedOn w:val="Normal"/>
    <w:next w:val="Normal"/>
    <w:uiPriority w:val="37"/>
    <w:semiHidden/>
    <w:qFormat/>
    <w:rsid w:val="00405336"/>
    <w:pPr/>
    <w:rPr/>
  </w:style>
  <w:style w:type="paragraph" w:styleId="BlockText">
    <w:name w:val="Block Text"/>
    <w:basedOn w:val="Normal"/>
    <w:semiHidden/>
    <w:qFormat/>
    <w:rsid w:val="00405336"/>
    <w:pPr>
      <w:spacing w:before="0" w:after="120"/>
      <w:ind w:left="1440" w:right="1440" w:hanging="0"/>
    </w:pPr>
    <w:rPr/>
  </w:style>
  <w:style w:type="paragraph" w:styleId="BodyText2">
    <w:name w:val="Body Text 2"/>
    <w:basedOn w:val="Normal"/>
    <w:link w:val="BodyText2Char"/>
    <w:semiHidden/>
    <w:qFormat/>
    <w:rsid w:val="00405336"/>
    <w:pPr>
      <w:spacing w:lineRule="auto" w:line="480" w:before="0" w:after="120"/>
    </w:pPr>
    <w:rPr/>
  </w:style>
  <w:style w:type="paragraph" w:styleId="BodyText3">
    <w:name w:val="Body Text 3"/>
    <w:basedOn w:val="Normal"/>
    <w:link w:val="BodyText3Char"/>
    <w:semiHidden/>
    <w:qFormat/>
    <w:rsid w:val="00405336"/>
    <w:pPr>
      <w:spacing w:before="0" w:after="120"/>
    </w:pPr>
    <w:rPr>
      <w:sz w:val="16"/>
      <w:szCs w:val="16"/>
    </w:rPr>
  </w:style>
  <w:style w:type="paragraph" w:styleId="BodyTextIndent">
    <w:name w:val="Body Text Indent"/>
    <w:basedOn w:val="TextBody"/>
    <w:link w:val="BodyTextFirstIndentChar"/>
    <w:semiHidden/>
    <w:qFormat/>
    <w:rsid w:val="00405336"/>
    <w:pPr>
      <w:ind w:firstLine="210"/>
    </w:pPr>
    <w:rPr/>
  </w:style>
  <w:style w:type="paragraph" w:styleId="TextBodyIndent">
    <w:name w:val="Body Text Indent"/>
    <w:basedOn w:val="Normal"/>
    <w:link w:val="BodyTextIndentChar"/>
    <w:semiHidden/>
    <w:rsid w:val="00405336"/>
    <w:pPr>
      <w:spacing w:before="0" w:after="120"/>
      <w:ind w:left="360" w:hanging="0"/>
    </w:pPr>
    <w:rPr/>
  </w:style>
  <w:style w:type="paragraph" w:styleId="BodyTextFirstIndent2">
    <w:name w:val="Body Text First Indent 2"/>
    <w:basedOn w:val="TextBodyIndent"/>
    <w:link w:val="BodyTextFirstIndent2Char"/>
    <w:semiHidden/>
    <w:qFormat/>
    <w:rsid w:val="00405336"/>
    <w:pPr>
      <w:ind w:left="360" w:firstLine="210"/>
    </w:pPr>
    <w:rPr/>
  </w:style>
  <w:style w:type="paragraph" w:styleId="BodyTextIndent2">
    <w:name w:val="Body Text Indent 2"/>
    <w:basedOn w:val="Normal"/>
    <w:link w:val="BodyTextIndent2Char"/>
    <w:semiHidden/>
    <w:qFormat/>
    <w:rsid w:val="00405336"/>
    <w:pPr>
      <w:spacing w:lineRule="auto" w:line="480" w:before="0" w:after="120"/>
      <w:ind w:left="360" w:hanging="0"/>
    </w:pPr>
    <w:rPr/>
  </w:style>
  <w:style w:type="paragraph" w:styleId="BodyTextIndent3">
    <w:name w:val="Body Text Indent 3"/>
    <w:basedOn w:val="Normal"/>
    <w:link w:val="BodyTextIndent3Char"/>
    <w:semiHidden/>
    <w:qFormat/>
    <w:rsid w:val="00405336"/>
    <w:pPr>
      <w:spacing w:before="0" w:after="120"/>
      <w:ind w:left="360" w:hanging="0"/>
    </w:pPr>
    <w:rPr>
      <w:sz w:val="16"/>
      <w:szCs w:val="16"/>
    </w:rPr>
  </w:style>
  <w:style w:type="paragraph" w:styleId="Caption1">
    <w:name w:val="caption"/>
    <w:basedOn w:val="Normal"/>
    <w:next w:val="Normal"/>
    <w:semiHidden/>
    <w:qFormat/>
    <w:rsid w:val="00405336"/>
    <w:pPr/>
    <w:rPr>
      <w:b/>
      <w:bCs/>
      <w:sz w:val="20"/>
    </w:rPr>
  </w:style>
  <w:style w:type="paragraph" w:styleId="Closing">
    <w:name w:val="Closing"/>
    <w:basedOn w:val="Normal"/>
    <w:link w:val="ClosingChar"/>
    <w:semiHidden/>
    <w:qFormat/>
    <w:rsid w:val="00405336"/>
    <w:pPr>
      <w:ind w:left="4320" w:hanging="0"/>
    </w:pPr>
    <w:rPr/>
  </w:style>
  <w:style w:type="paragraph" w:styleId="Annotationtext">
    <w:name w:val="annotation text"/>
    <w:basedOn w:val="Normal"/>
    <w:link w:val="CommentTextChar"/>
    <w:semiHidden/>
    <w:qFormat/>
    <w:rsid w:val="00405336"/>
    <w:pPr/>
    <w:rPr>
      <w:sz w:val="20"/>
    </w:rPr>
  </w:style>
  <w:style w:type="paragraph" w:styleId="Annotationsubject">
    <w:name w:val="annotation subject"/>
    <w:basedOn w:val="Annotationtext"/>
    <w:next w:val="Annotationtext"/>
    <w:link w:val="CommentSubjectChar"/>
    <w:semiHidden/>
    <w:qFormat/>
    <w:rsid w:val="00405336"/>
    <w:pPr/>
    <w:rPr>
      <w:b/>
      <w:bCs/>
    </w:rPr>
  </w:style>
  <w:style w:type="paragraph" w:styleId="Date">
    <w:name w:val="Date"/>
    <w:basedOn w:val="Normal"/>
    <w:next w:val="Normal"/>
    <w:link w:val="DateChar"/>
    <w:semiHidden/>
    <w:qFormat/>
    <w:rsid w:val="00405336"/>
    <w:pPr/>
    <w:rPr/>
  </w:style>
  <w:style w:type="paragraph" w:styleId="DocumentMap">
    <w:name w:val="Document Map"/>
    <w:basedOn w:val="Normal"/>
    <w:link w:val="DocumentMapChar"/>
    <w:semiHidden/>
    <w:qFormat/>
    <w:rsid w:val="00405336"/>
    <w:pPr/>
    <w:rPr>
      <w:rFonts w:ascii="Tahoma" w:hAnsi="Tahoma" w:cs="Tahoma"/>
      <w:sz w:val="16"/>
      <w:szCs w:val="16"/>
    </w:rPr>
  </w:style>
  <w:style w:type="paragraph" w:styleId="EmailSignature">
    <w:name w:val="E-mail Signature"/>
    <w:basedOn w:val="Normal"/>
    <w:link w:val="E-mailSignatureChar"/>
    <w:semiHidden/>
    <w:qFormat/>
    <w:rsid w:val="00405336"/>
    <w:pPr/>
    <w:rPr/>
  </w:style>
  <w:style w:type="paragraph" w:styleId="Endnote">
    <w:name w:val="Endnote Text"/>
    <w:basedOn w:val="Normal"/>
    <w:link w:val="EndnoteTextChar"/>
    <w:semiHidden/>
    <w:rsid w:val="00405336"/>
    <w:pPr/>
    <w:rPr>
      <w:sz w:val="20"/>
    </w:rPr>
  </w:style>
  <w:style w:type="paragraph" w:styleId="Envelopeaddress">
    <w:name w:val="envelope address"/>
    <w:basedOn w:val="Normal"/>
    <w:semiHidden/>
    <w:qFormat/>
    <w:rsid w:val="00405336"/>
    <w:pPr>
      <w:ind w:left="2880" w:hanging="0"/>
    </w:pPr>
    <w:rPr>
      <w:rFonts w:ascii="Cambria" w:hAnsi="Cambria"/>
      <w:szCs w:val="24"/>
    </w:rPr>
  </w:style>
  <w:style w:type="paragraph" w:styleId="Envelopereturn">
    <w:name w:val="envelope return"/>
    <w:basedOn w:val="Normal"/>
    <w:semiHidden/>
    <w:qFormat/>
    <w:rsid w:val="00405336"/>
    <w:pPr/>
    <w:rPr>
      <w:rFonts w:ascii="Cambria" w:hAnsi="Cambria"/>
      <w:sz w:val="20"/>
    </w:rPr>
  </w:style>
  <w:style w:type="paragraph" w:styleId="HeaderandFooter">
    <w:name w:val="Header and Footer"/>
    <w:basedOn w:val="Normal"/>
    <w:qFormat/>
    <w:pPr/>
    <w:rPr/>
  </w:style>
  <w:style w:type="paragraph" w:styleId="Footer">
    <w:name w:val="Footer"/>
    <w:basedOn w:val="Normal"/>
    <w:link w:val="FooterChar"/>
    <w:semiHidden/>
    <w:rsid w:val="00405336"/>
    <w:pPr>
      <w:tabs>
        <w:tab w:val="clear" w:pos="720"/>
        <w:tab w:val="center" w:pos="4680" w:leader="none"/>
        <w:tab w:val="right" w:pos="9360" w:leader="none"/>
      </w:tabs>
    </w:pPr>
    <w:rPr/>
  </w:style>
  <w:style w:type="paragraph" w:styleId="Footnote">
    <w:name w:val="Footnote Text"/>
    <w:basedOn w:val="Normal"/>
    <w:link w:val="FootnoteTextChar"/>
    <w:semiHidden/>
    <w:rsid w:val="00405336"/>
    <w:pPr/>
    <w:rPr>
      <w:sz w:val="20"/>
    </w:rPr>
  </w:style>
  <w:style w:type="paragraph" w:styleId="Header">
    <w:name w:val="Header"/>
    <w:basedOn w:val="Normal"/>
    <w:link w:val="HeaderChar"/>
    <w:semiHidden/>
    <w:rsid w:val="00405336"/>
    <w:pPr>
      <w:tabs>
        <w:tab w:val="clear" w:pos="720"/>
        <w:tab w:val="center" w:pos="4680" w:leader="none"/>
        <w:tab w:val="right" w:pos="9360" w:leader="none"/>
      </w:tabs>
    </w:pPr>
    <w:rPr/>
  </w:style>
  <w:style w:type="paragraph" w:styleId="HTMLAddress">
    <w:name w:val="HTML Address"/>
    <w:basedOn w:val="Normal"/>
    <w:link w:val="HTMLAddressChar"/>
    <w:semiHidden/>
    <w:qFormat/>
    <w:rsid w:val="00405336"/>
    <w:pPr/>
    <w:rPr>
      <w:i/>
      <w:iCs/>
    </w:rPr>
  </w:style>
  <w:style w:type="paragraph" w:styleId="HTMLPreformatted">
    <w:name w:val="HTML Preformatted"/>
    <w:basedOn w:val="Normal"/>
    <w:link w:val="HTMLPreformattedChar"/>
    <w:semiHidden/>
    <w:qFormat/>
    <w:rsid w:val="00405336"/>
    <w:pPr/>
    <w:rPr>
      <w:rFonts w:ascii="Courier New" w:hAnsi="Courier New" w:cs="Courier New"/>
      <w:sz w:val="20"/>
    </w:rPr>
  </w:style>
  <w:style w:type="paragraph" w:styleId="Index1">
    <w:name w:val="index 1"/>
    <w:basedOn w:val="Normal"/>
    <w:next w:val="Normal"/>
    <w:autoRedefine/>
    <w:semiHidden/>
    <w:qFormat/>
    <w:rsid w:val="00405336"/>
    <w:pPr>
      <w:ind w:left="240" w:hanging="240"/>
    </w:pPr>
    <w:rPr/>
  </w:style>
  <w:style w:type="paragraph" w:styleId="Index2">
    <w:name w:val="index 2"/>
    <w:basedOn w:val="Normal"/>
    <w:next w:val="Normal"/>
    <w:autoRedefine/>
    <w:semiHidden/>
    <w:qFormat/>
    <w:rsid w:val="00405336"/>
    <w:pPr>
      <w:ind w:left="480" w:hanging="240"/>
    </w:pPr>
    <w:rPr/>
  </w:style>
  <w:style w:type="paragraph" w:styleId="Index3">
    <w:name w:val="index 3"/>
    <w:basedOn w:val="Normal"/>
    <w:next w:val="Normal"/>
    <w:autoRedefine/>
    <w:semiHidden/>
    <w:qFormat/>
    <w:rsid w:val="00405336"/>
    <w:pPr>
      <w:ind w:left="720" w:hanging="240"/>
    </w:pPr>
    <w:rPr/>
  </w:style>
  <w:style w:type="paragraph" w:styleId="Index4">
    <w:name w:val="index 4"/>
    <w:basedOn w:val="Normal"/>
    <w:next w:val="Normal"/>
    <w:autoRedefine/>
    <w:semiHidden/>
    <w:qFormat/>
    <w:rsid w:val="00405336"/>
    <w:pPr>
      <w:ind w:left="960" w:hanging="240"/>
    </w:pPr>
    <w:rPr/>
  </w:style>
  <w:style w:type="paragraph" w:styleId="Index5">
    <w:name w:val="index 5"/>
    <w:basedOn w:val="Normal"/>
    <w:next w:val="Normal"/>
    <w:autoRedefine/>
    <w:semiHidden/>
    <w:qFormat/>
    <w:rsid w:val="00405336"/>
    <w:pPr>
      <w:ind w:left="1200" w:hanging="240"/>
    </w:pPr>
    <w:rPr/>
  </w:style>
  <w:style w:type="paragraph" w:styleId="Index6">
    <w:name w:val="index 6"/>
    <w:basedOn w:val="Normal"/>
    <w:next w:val="Normal"/>
    <w:autoRedefine/>
    <w:semiHidden/>
    <w:qFormat/>
    <w:rsid w:val="00405336"/>
    <w:pPr>
      <w:ind w:left="1440" w:hanging="240"/>
    </w:pPr>
    <w:rPr/>
  </w:style>
  <w:style w:type="paragraph" w:styleId="Index7">
    <w:name w:val="index 7"/>
    <w:basedOn w:val="Normal"/>
    <w:next w:val="Normal"/>
    <w:autoRedefine/>
    <w:semiHidden/>
    <w:qFormat/>
    <w:rsid w:val="00405336"/>
    <w:pPr>
      <w:ind w:left="1680" w:hanging="240"/>
    </w:pPr>
    <w:rPr/>
  </w:style>
  <w:style w:type="paragraph" w:styleId="Index8">
    <w:name w:val="index 8"/>
    <w:basedOn w:val="Normal"/>
    <w:next w:val="Normal"/>
    <w:autoRedefine/>
    <w:semiHidden/>
    <w:qFormat/>
    <w:rsid w:val="00405336"/>
    <w:pPr>
      <w:ind w:left="1920" w:hanging="240"/>
    </w:pPr>
    <w:rPr/>
  </w:style>
  <w:style w:type="paragraph" w:styleId="Index9">
    <w:name w:val="index 9"/>
    <w:basedOn w:val="Normal"/>
    <w:next w:val="Normal"/>
    <w:autoRedefine/>
    <w:semiHidden/>
    <w:qFormat/>
    <w:rsid w:val="00405336"/>
    <w:pPr>
      <w:ind w:left="2160" w:hanging="240"/>
    </w:pPr>
    <w:rPr/>
  </w:style>
  <w:style w:type="paragraph" w:styleId="Indexheading">
    <w:name w:val="index heading"/>
    <w:basedOn w:val="Normal"/>
    <w:next w:val="Index1"/>
    <w:semiHidden/>
    <w:qFormat/>
    <w:rsid w:val="00405336"/>
    <w:pPr/>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hanging="0"/>
    </w:pPr>
    <w:rPr>
      <w:b/>
      <w:bCs/>
      <w:i/>
      <w:iCs/>
      <w:color w:val="4F81BD"/>
    </w:rPr>
  </w:style>
  <w:style w:type="paragraph" w:styleId="List2">
    <w:name w:val="List Bullet 3"/>
    <w:basedOn w:val="Normal"/>
    <w:semiHidden/>
    <w:rsid w:val="00405336"/>
    <w:pPr>
      <w:spacing w:before="0" w:after="0"/>
      <w:ind w:left="720" w:hanging="360"/>
      <w:contextualSpacing/>
    </w:pPr>
    <w:rPr/>
  </w:style>
  <w:style w:type="paragraph" w:styleId="List3">
    <w:name w:val="List Bullet 4"/>
    <w:basedOn w:val="Normal"/>
    <w:semiHidden/>
    <w:rsid w:val="00405336"/>
    <w:pPr>
      <w:spacing w:before="0" w:after="0"/>
      <w:ind w:left="1080" w:hanging="360"/>
      <w:contextualSpacing/>
    </w:pPr>
    <w:rPr/>
  </w:style>
  <w:style w:type="paragraph" w:styleId="List4">
    <w:name w:val="List Bullet 5"/>
    <w:basedOn w:val="Normal"/>
    <w:semiHidden/>
    <w:rsid w:val="00405336"/>
    <w:pPr>
      <w:spacing w:before="0" w:after="0"/>
      <w:ind w:left="1440" w:hanging="360"/>
      <w:contextualSpacing/>
    </w:pPr>
    <w:rPr/>
  </w:style>
  <w:style w:type="paragraph" w:styleId="List5">
    <w:name w:val="List Number"/>
    <w:basedOn w:val="Normal"/>
    <w:semiHidden/>
    <w:rsid w:val="00405336"/>
    <w:pPr>
      <w:spacing w:before="0" w:after="0"/>
      <w:ind w:left="1800" w:hanging="360"/>
      <w:contextualSpacing/>
    </w:pPr>
    <w:rPr/>
  </w:style>
  <w:style w:type="paragraph" w:styleId="ListBullet">
    <w:name w:val="List Bullet"/>
    <w:basedOn w:val="Normal"/>
    <w:semiHidden/>
    <w:qFormat/>
    <w:rsid w:val="00405336"/>
    <w:pPr>
      <w:numPr>
        <w:ilvl w:val="0"/>
        <w:numId w:val="1"/>
      </w:numPr>
      <w:spacing w:before="0" w:after="0"/>
      <w:contextualSpacing/>
    </w:pPr>
    <w:rPr/>
  </w:style>
  <w:style w:type="paragraph" w:styleId="ListBullet2">
    <w:name w:val="List Bullet 2"/>
    <w:basedOn w:val="Normal"/>
    <w:semiHidden/>
    <w:qFormat/>
    <w:rsid w:val="00405336"/>
    <w:pPr>
      <w:numPr>
        <w:ilvl w:val="0"/>
        <w:numId w:val="2"/>
      </w:numPr>
      <w:spacing w:before="0" w:after="0"/>
      <w:contextualSpacing/>
    </w:pPr>
    <w:rPr/>
  </w:style>
  <w:style w:type="paragraph" w:styleId="ListBullet3">
    <w:name w:val="List Bullet 3"/>
    <w:basedOn w:val="Normal"/>
    <w:semiHidden/>
    <w:qFormat/>
    <w:rsid w:val="00405336"/>
    <w:pPr>
      <w:numPr>
        <w:ilvl w:val="0"/>
        <w:numId w:val="3"/>
      </w:numPr>
      <w:spacing w:before="0" w:after="0"/>
      <w:contextualSpacing/>
    </w:pPr>
    <w:rPr/>
  </w:style>
  <w:style w:type="paragraph" w:styleId="ListBullet4">
    <w:name w:val="List Bullet 4"/>
    <w:basedOn w:val="Normal"/>
    <w:semiHidden/>
    <w:qFormat/>
    <w:rsid w:val="00405336"/>
    <w:pPr>
      <w:numPr>
        <w:ilvl w:val="0"/>
        <w:numId w:val="4"/>
      </w:numPr>
      <w:spacing w:before="0" w:after="0"/>
      <w:contextualSpacing/>
    </w:pPr>
    <w:rPr/>
  </w:style>
  <w:style w:type="paragraph" w:styleId="ListBullet5">
    <w:name w:val="List Bullet 5"/>
    <w:basedOn w:val="Normal"/>
    <w:semiHidden/>
    <w:qFormat/>
    <w:rsid w:val="00405336"/>
    <w:pPr>
      <w:numPr>
        <w:ilvl w:val="0"/>
        <w:numId w:val="5"/>
      </w:numPr>
      <w:spacing w:before="0" w:after="0"/>
      <w:contextualSpacing/>
    </w:pPr>
    <w:rPr/>
  </w:style>
  <w:style w:type="paragraph" w:styleId="ListContinue">
    <w:name w:val="List Continue"/>
    <w:basedOn w:val="Normal"/>
    <w:semiHidden/>
    <w:qFormat/>
    <w:rsid w:val="00405336"/>
    <w:pPr>
      <w:spacing w:before="0" w:after="120"/>
      <w:ind w:left="360" w:hanging="0"/>
      <w:contextualSpacing/>
    </w:pPr>
    <w:rPr/>
  </w:style>
  <w:style w:type="paragraph" w:styleId="ListContinue2">
    <w:name w:val="List Continue 2"/>
    <w:basedOn w:val="Normal"/>
    <w:semiHidden/>
    <w:qFormat/>
    <w:rsid w:val="00405336"/>
    <w:pPr>
      <w:spacing w:before="0" w:after="120"/>
      <w:ind w:left="720" w:hanging="0"/>
      <w:contextualSpacing/>
    </w:pPr>
    <w:rPr/>
  </w:style>
  <w:style w:type="paragraph" w:styleId="ListContinue3">
    <w:name w:val="List Continue 3"/>
    <w:basedOn w:val="Normal"/>
    <w:semiHidden/>
    <w:qFormat/>
    <w:rsid w:val="00405336"/>
    <w:pPr>
      <w:spacing w:before="0" w:after="120"/>
      <w:ind w:left="1080" w:hanging="0"/>
      <w:contextualSpacing/>
    </w:pPr>
    <w:rPr/>
  </w:style>
  <w:style w:type="paragraph" w:styleId="ListContinue4">
    <w:name w:val="List Continue 4"/>
    <w:basedOn w:val="Normal"/>
    <w:semiHidden/>
    <w:qFormat/>
    <w:rsid w:val="00405336"/>
    <w:pPr>
      <w:spacing w:before="0" w:after="120"/>
      <w:ind w:left="1440" w:hanging="0"/>
      <w:contextualSpacing/>
    </w:pPr>
    <w:rPr/>
  </w:style>
  <w:style w:type="paragraph" w:styleId="ListContinue5">
    <w:name w:val="List Continue 5"/>
    <w:basedOn w:val="Normal"/>
    <w:semiHidden/>
    <w:qFormat/>
    <w:rsid w:val="00405336"/>
    <w:pPr>
      <w:spacing w:before="0" w:after="120"/>
      <w:ind w:left="1800" w:hanging="0"/>
      <w:contextualSpacing/>
    </w:pPr>
    <w:rPr/>
  </w:style>
  <w:style w:type="paragraph" w:styleId="ListNumber">
    <w:name w:val="List Number"/>
    <w:basedOn w:val="Normal"/>
    <w:semiHidden/>
    <w:qFormat/>
    <w:rsid w:val="00405336"/>
    <w:pPr>
      <w:numPr>
        <w:ilvl w:val="0"/>
        <w:numId w:val="6"/>
      </w:numPr>
      <w:spacing w:before="0" w:after="0"/>
      <w:contextualSpacing/>
    </w:pPr>
    <w:rPr/>
  </w:style>
  <w:style w:type="paragraph" w:styleId="ListNumber2">
    <w:name w:val="List Number 2"/>
    <w:basedOn w:val="Normal"/>
    <w:semiHidden/>
    <w:qFormat/>
    <w:rsid w:val="00405336"/>
    <w:pPr>
      <w:numPr>
        <w:ilvl w:val="0"/>
        <w:numId w:val="7"/>
      </w:numPr>
      <w:spacing w:before="0" w:after="0"/>
      <w:contextualSpacing/>
    </w:pPr>
    <w:rPr/>
  </w:style>
  <w:style w:type="paragraph" w:styleId="ListNumber3">
    <w:name w:val="List Number 3"/>
    <w:basedOn w:val="Normal"/>
    <w:semiHidden/>
    <w:qFormat/>
    <w:rsid w:val="00405336"/>
    <w:pPr>
      <w:numPr>
        <w:ilvl w:val="0"/>
        <w:numId w:val="8"/>
      </w:numPr>
      <w:spacing w:before="0" w:after="0"/>
      <w:contextualSpacing/>
    </w:pPr>
    <w:rPr/>
  </w:style>
  <w:style w:type="paragraph" w:styleId="ListNumber4">
    <w:name w:val="List Number 4"/>
    <w:basedOn w:val="Normal"/>
    <w:semiHidden/>
    <w:qFormat/>
    <w:rsid w:val="00405336"/>
    <w:pPr>
      <w:numPr>
        <w:ilvl w:val="0"/>
        <w:numId w:val="9"/>
      </w:numPr>
      <w:spacing w:before="0" w:after="0"/>
      <w:contextualSpacing/>
    </w:pPr>
    <w:rPr/>
  </w:style>
  <w:style w:type="paragraph" w:styleId="ListNumber5">
    <w:name w:val="List Number 5"/>
    <w:basedOn w:val="Normal"/>
    <w:semiHidden/>
    <w:qFormat/>
    <w:rsid w:val="00405336"/>
    <w:pPr>
      <w:numPr>
        <w:ilvl w:val="0"/>
        <w:numId w:val="10"/>
      </w:numPr>
      <w:spacing w:before="0" w:after="0"/>
      <w:contextualSpacing/>
    </w:pPr>
    <w:rPr/>
  </w:style>
  <w:style w:type="paragraph" w:styleId="ListParagraph">
    <w:name w:val="List Paragraph"/>
    <w:basedOn w:val="Normal"/>
    <w:uiPriority w:val="34"/>
    <w:semiHidden/>
    <w:qFormat/>
    <w:rsid w:val="00405336"/>
    <w:pPr>
      <w:ind w:left="720" w:hanging="0"/>
    </w:pPr>
    <w:rPr/>
  </w:style>
  <w:style w:type="paragraph" w:styleId="Macro">
    <w:name w:val="macro"/>
    <w:link w:val="MacroTextChar"/>
    <w:semiHidden/>
    <w:qFormat/>
    <w:rsid w:val="00405336"/>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urier New" w:hAnsi="Courier New" w:cs="Courier New" w:eastAsia="Times New Roman"/>
      <w:color w:val="auto"/>
      <w:kern w:val="0"/>
      <w:sz w:val="20"/>
      <w:szCs w:val="20"/>
      <w:lang w:val="en-US" w:eastAsia="en-US" w:bidi="ar-SA"/>
    </w:rPr>
  </w:style>
  <w:style w:type="paragraph" w:styleId="MessageHeader">
    <w:name w:val="Message Header"/>
    <w:basedOn w:val="Normal"/>
    <w:link w:val="MessageHeaderChar"/>
    <w:semiHidden/>
    <w:qFormat/>
    <w:rsid w:val="00405336"/>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Cambria" w:hAnsi="Cambria"/>
      <w:szCs w:val="24"/>
    </w:rPr>
  </w:style>
  <w:style w:type="paragraph" w:styleId="NoSpacing">
    <w:name w:val="No Spacing"/>
    <w:uiPriority w:val="1"/>
    <w:semiHidden/>
    <w:qFormat/>
    <w:rsid w:val="00405336"/>
    <w:pPr>
      <w:widowControl/>
      <w:bidi w:val="0"/>
      <w:spacing w:before="0" w:after="0"/>
      <w:jc w:val="left"/>
    </w:pPr>
    <w:rPr>
      <w:rFonts w:ascii="Times New Roman" w:hAnsi="Times New Roman" w:eastAsia="Times New Roman" w:cs="Times New Roman"/>
      <w:color w:val="auto"/>
      <w:kern w:val="0"/>
      <w:sz w:val="24"/>
      <w:szCs w:val="20"/>
      <w:lang w:val="en-US" w:eastAsia="en-US" w:bidi="ar-SA"/>
    </w:rPr>
  </w:style>
  <w:style w:type="paragraph" w:styleId="NormalWeb">
    <w:name w:val="Normal (Web)"/>
    <w:basedOn w:val="Normal"/>
    <w:uiPriority w:val="99"/>
    <w:semiHidden/>
    <w:qFormat/>
    <w:rsid w:val="00405336"/>
    <w:pPr/>
    <w:rPr>
      <w:szCs w:val="24"/>
    </w:rPr>
  </w:style>
  <w:style w:type="paragraph" w:styleId="NormalIndent">
    <w:name w:val="Normal Indent"/>
    <w:basedOn w:val="Normal"/>
    <w:semiHidden/>
    <w:qFormat/>
    <w:rsid w:val="00405336"/>
    <w:pPr>
      <w:ind w:left="720" w:hanging="0"/>
    </w:pPr>
    <w:rPr/>
  </w:style>
  <w:style w:type="paragraph" w:styleId="NoteHeading">
    <w:name w:val="Note Heading"/>
    <w:basedOn w:val="Normal"/>
    <w:next w:val="Normal"/>
    <w:link w:val="NoteHeadingChar"/>
    <w:semiHidden/>
    <w:qFormat/>
    <w:rsid w:val="00405336"/>
    <w:pPr/>
    <w:rPr/>
  </w:style>
  <w:style w:type="paragraph" w:styleId="PlainText">
    <w:name w:val="Plain Text"/>
    <w:basedOn w:val="Normal"/>
    <w:link w:val="PlainTextChar"/>
    <w:semiHidden/>
    <w:qFormat/>
    <w:rsid w:val="00405336"/>
    <w:pPr/>
    <w:rPr>
      <w:rFonts w:ascii="Courier New" w:hAnsi="Courier New" w:cs="Courier New"/>
      <w:sz w:val="20"/>
    </w:rPr>
  </w:style>
  <w:style w:type="paragraph" w:styleId="Quote">
    <w:name w:val="Quote"/>
    <w:basedOn w:val="Normal"/>
    <w:next w:val="Normal"/>
    <w:link w:val="QuoteChar"/>
    <w:uiPriority w:val="29"/>
    <w:semiHidden/>
    <w:qFormat/>
    <w:rsid w:val="00405336"/>
    <w:pPr/>
    <w:rPr>
      <w:i/>
      <w:iCs/>
      <w:color w:val="000000"/>
    </w:rPr>
  </w:style>
  <w:style w:type="paragraph" w:styleId="ComplimentaryClose">
    <w:name w:val="Salutation"/>
    <w:basedOn w:val="Normal"/>
    <w:next w:val="Normal"/>
    <w:link w:val="SalutationChar"/>
    <w:semiHidden/>
    <w:rsid w:val="00405336"/>
    <w:pPr/>
    <w:rPr/>
  </w:style>
  <w:style w:type="paragraph" w:styleId="Signature">
    <w:name w:val="Signature"/>
    <w:basedOn w:val="Normal"/>
    <w:link w:val="SignatureChar"/>
    <w:semiHidden/>
    <w:rsid w:val="00405336"/>
    <w:pPr>
      <w:ind w:left="4320" w:hanging="0"/>
    </w:pPr>
    <w:rPr/>
  </w:style>
  <w:style w:type="paragraph" w:styleId="Subtitle">
    <w:name w:val="Subtitle"/>
    <w:basedOn w:val="Normal"/>
    <w:next w:val="Normal"/>
    <w:link w:val="SubtitleChar"/>
    <w:semiHidden/>
    <w:qFormat/>
    <w:rsid w:val="00405336"/>
    <w:pPr>
      <w:spacing w:before="0" w:after="60"/>
      <w:jc w:val="center"/>
      <w:outlineLvl w:val="1"/>
    </w:pPr>
    <w:rPr>
      <w:rFonts w:ascii="Cambria" w:hAnsi="Cambria"/>
      <w:szCs w:val="24"/>
    </w:rPr>
  </w:style>
  <w:style w:type="paragraph" w:styleId="Tableofauthorities">
    <w:name w:val="table of authorities"/>
    <w:basedOn w:val="Normal"/>
    <w:next w:val="Normal"/>
    <w:semiHidden/>
    <w:qFormat/>
    <w:rsid w:val="00405336"/>
    <w:pPr>
      <w:ind w:left="240" w:hanging="240"/>
    </w:pPr>
    <w:rPr/>
  </w:style>
  <w:style w:type="paragraph" w:styleId="Tableoffigures">
    <w:name w:val="table of figures"/>
    <w:basedOn w:val="Normal"/>
    <w:next w:val="Normal"/>
    <w:semiHidden/>
    <w:qFormat/>
    <w:rsid w:val="00405336"/>
    <w:pPr/>
    <w:rPr/>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
      <w:sz w:val="32"/>
      <w:szCs w:val="32"/>
    </w:rPr>
  </w:style>
  <w:style w:type="paragraph" w:styleId="Toaheading">
    <w:name w:val="toa heading"/>
    <w:basedOn w:val="Normal"/>
    <w:next w:val="Normal"/>
    <w:semiHidden/>
    <w:qFormat/>
    <w:rsid w:val="00405336"/>
    <w:pPr>
      <w:spacing w:before="120" w:after="0"/>
    </w:pPr>
    <w:rPr>
      <w:rFonts w:ascii="Cambria" w:hAnsi="Cambria"/>
      <w:b/>
      <w:bCs/>
      <w:szCs w:val="24"/>
    </w:rPr>
  </w:style>
  <w:style w:type="paragraph" w:styleId="Contents1">
    <w:name w:val="TOC 1"/>
    <w:basedOn w:val="Normal"/>
    <w:next w:val="Normal"/>
    <w:autoRedefine/>
    <w:semiHidden/>
    <w:rsid w:val="00405336"/>
    <w:pPr/>
    <w:rPr/>
  </w:style>
  <w:style w:type="paragraph" w:styleId="Contents2">
    <w:name w:val="TOC 2"/>
    <w:basedOn w:val="Normal"/>
    <w:next w:val="Normal"/>
    <w:autoRedefine/>
    <w:semiHidden/>
    <w:rsid w:val="00405336"/>
    <w:pPr>
      <w:ind w:left="240" w:hanging="0"/>
    </w:pPr>
    <w:rPr/>
  </w:style>
  <w:style w:type="paragraph" w:styleId="Contents3">
    <w:name w:val="TOC 3"/>
    <w:basedOn w:val="Normal"/>
    <w:next w:val="Normal"/>
    <w:autoRedefine/>
    <w:semiHidden/>
    <w:rsid w:val="00405336"/>
    <w:pPr>
      <w:ind w:left="480" w:hanging="0"/>
    </w:pPr>
    <w:rPr/>
  </w:style>
  <w:style w:type="paragraph" w:styleId="Contents4">
    <w:name w:val="TOC 4"/>
    <w:basedOn w:val="Normal"/>
    <w:next w:val="Normal"/>
    <w:autoRedefine/>
    <w:semiHidden/>
    <w:rsid w:val="00405336"/>
    <w:pPr>
      <w:ind w:left="720" w:hanging="0"/>
    </w:pPr>
    <w:rPr/>
  </w:style>
  <w:style w:type="paragraph" w:styleId="Contents5">
    <w:name w:val="TOC 5"/>
    <w:basedOn w:val="Normal"/>
    <w:next w:val="Normal"/>
    <w:autoRedefine/>
    <w:semiHidden/>
    <w:rsid w:val="00405336"/>
    <w:pPr>
      <w:ind w:left="960" w:hanging="0"/>
    </w:pPr>
    <w:rPr/>
  </w:style>
  <w:style w:type="paragraph" w:styleId="Contents6">
    <w:name w:val="TOC 6"/>
    <w:basedOn w:val="Normal"/>
    <w:next w:val="Normal"/>
    <w:autoRedefine/>
    <w:semiHidden/>
    <w:rsid w:val="00405336"/>
    <w:pPr>
      <w:ind w:left="1200" w:hanging="0"/>
    </w:pPr>
    <w:rPr/>
  </w:style>
  <w:style w:type="paragraph" w:styleId="Contents7">
    <w:name w:val="TOC 7"/>
    <w:basedOn w:val="Normal"/>
    <w:next w:val="Normal"/>
    <w:autoRedefine/>
    <w:semiHidden/>
    <w:rsid w:val="00405336"/>
    <w:pPr>
      <w:ind w:left="1440" w:hanging="0"/>
    </w:pPr>
    <w:rPr/>
  </w:style>
  <w:style w:type="paragraph" w:styleId="Contents8">
    <w:name w:val="TOC 8"/>
    <w:basedOn w:val="Normal"/>
    <w:next w:val="Normal"/>
    <w:autoRedefine/>
    <w:semiHidden/>
    <w:rsid w:val="00405336"/>
    <w:pPr>
      <w:ind w:left="1680" w:hanging="0"/>
    </w:pPr>
    <w:rPr/>
  </w:style>
  <w:style w:type="paragraph" w:styleId="Contents9">
    <w:name w:val="TOC 9"/>
    <w:basedOn w:val="Normal"/>
    <w:next w:val="Normal"/>
    <w:autoRedefine/>
    <w:semiHidden/>
    <w:rsid w:val="00405336"/>
    <w:pPr>
      <w:ind w:left="1920" w:hanging="0"/>
    </w:pPr>
    <w:rPr/>
  </w:style>
  <w:style w:type="paragraph" w:styleId="TOCHeading">
    <w:name w:val="TOC Heading"/>
    <w:basedOn w:val="Heading1"/>
    <w:next w:val="Normal"/>
    <w:uiPriority w:val="39"/>
    <w:semiHidden/>
    <w:unhideWhenUsed/>
    <w:qFormat/>
    <w:rsid w:val="00405336"/>
    <w:pPr/>
    <w:rPr>
      <w:rFonts w:ascii="Cambria" w:hAnsi="Cambria"/>
      <w:sz w:val="32"/>
      <w:szCs w:val="32"/>
    </w:rPr>
  </w:style>
  <w:style w:type="paragraph" w:styleId="TableContents">
    <w:name w:val="Table Contents"/>
    <w:basedOn w:val="Normal"/>
    <w:qFormat/>
    <w:pPr>
      <w:widowControl w:val="false"/>
      <w:suppressLineNumbers/>
    </w:pPr>
    <w:rPr/>
  </w:style>
  <w:style w:type="paragraph" w:styleId="Bibliography1">
    <w:name w:val="Bibliography 1"/>
    <w:basedOn w:val="Index"/>
    <w:qFormat/>
    <w:pPr>
      <w:tabs>
        <w:tab w:val="clear" w:pos="720"/>
        <w:tab w:val="left" w:pos="384" w:leader="none"/>
      </w:tabs>
      <w:spacing w:lineRule="atLeast" w:line="240" w:before="0" w:after="240"/>
      <w:ind w:left="384" w:hanging="384"/>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yperlink" Target="mailto:alice.macqueen@utexas.edu" TargetMode="External"/><Relationship Id="rId4" Type="http://schemas.openxmlformats.org/officeDocument/2006/relationships/hyperlink" Target="mailto:git@github.com" TargetMode="External"/><Relationship Id="rId5" Type="http://schemas.openxmlformats.org/officeDocument/2006/relationships/hyperlink" Target="https://datadryad.org/stash/dataset/doi:10.5061/dryad.ghx3ffbjv"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AA570-445A-4792-B7C4-EE81A5C6C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Application>LibreOffice/7.0.6.2$Linux_X86_64 LibreOffice_project/00$Build-2</Application>
  <AppVersion>15.0000</AppVersion>
  <Pages>10</Pages>
  <Words>2797</Words>
  <Characters>15788</Characters>
  <CharactersWithSpaces>18525</CharactersWithSpaces>
  <Paragraphs>93</Paragraphs>
  <Company>AAAS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2020-09-29T13:11:00Z</dcterms:created>
  <dc:creator>Brooks Hanson</dc:creator>
  <dc:description/>
  <dc:language>en-US</dc:language>
  <cp:lastModifiedBy/>
  <cp:lastPrinted>2018-02-26T17:19:00Z</cp:lastPrinted>
  <dcterms:modified xsi:type="dcterms:W3CDTF">2021-06-29T14:45:48Z</dcterms:modified>
  <cp:revision>9</cp:revision>
  <dc:subject/>
  <dc:title>Supporting Online Material for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id="xyLwV3ZJ"/&gt;&lt;style id="http://www.zotero.org/styles/pnas" hasBibliography="1" bibliographyStyleHasBeenSet="1"/&gt;&lt;prefs&gt;&lt;pref name="fieldType" value="ReferenceMark"/&gt;&lt;/prefs&gt;&lt;/data&gt;</vt:lpwstr>
  </property>
</Properties>
</file>