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contextualSpacing/>
        <w:jc w:val="both"/>
        <w:rPr>
          <w:rFonts w:ascii="Arial" w:hAnsi="Arial" w:cs="Arial"/>
          <w:b/>
          <w:b/>
          <w:sz w:val="28"/>
          <w:szCs w:val="28"/>
        </w:rPr>
      </w:pPr>
      <w:r>
        <w:rPr>
          <w:rFonts w:cs="Arial" w:ascii="Arial" w:hAnsi="Arial"/>
          <w:b/>
          <w:sz w:val="28"/>
          <w:szCs w:val="28"/>
        </w:rPr>
        <w:t xml:space="preserve">PNAS Template for Main Manuscript </w:t>
      </w:r>
    </w:p>
    <w:p>
      <w:pPr>
        <w:pStyle w:val="Normal"/>
        <w:spacing w:before="0" w:after="200"/>
        <w:contextualSpacing/>
        <w:jc w:val="both"/>
        <w:rPr>
          <w:rFonts w:ascii="Arial" w:hAnsi="Arial" w:cs="Arial"/>
        </w:rPr>
      </w:pPr>
      <w:r>
        <w:rPr>
          <w:rFonts w:cs="Arial" w:ascii="Arial" w:hAnsi="Arial"/>
        </w:rPr>
      </w:r>
    </w:p>
    <w:p>
      <w:pPr>
        <w:pStyle w:val="Normal"/>
        <w:spacing w:before="0" w:after="200"/>
        <w:contextualSpacing/>
        <w:jc w:val="both"/>
        <w:rPr>
          <w:rFonts w:ascii="Arial" w:hAnsi="Arial" w:cs="Arial"/>
          <w:sz w:val="20"/>
          <w:szCs w:val="20"/>
        </w:rPr>
      </w:pPr>
      <w:r>
        <w:rPr>
          <w:rFonts w:cs="Arial" w:ascii="Arial" w:hAnsi="Arial"/>
          <w:sz w:val="20"/>
          <w:szCs w:val="20"/>
        </w:rPr>
        <w:t xml:space="preserve">This PNAS template for the Main Manuscript may be used to organize your main text source file. The template is intended to provide a clearly organized PDF to facilitate the review process. Further information is available in our </w:t>
      </w:r>
      <w:r>
        <w:fldChar w:fldCharType="begin"/>
      </w:r>
      <w:r>
        <w:rPr>
          <w:sz w:val="20"/>
          <w:u w:val="single"/>
          <w:szCs w:val="20"/>
          <w:rFonts w:cs="Arial" w:ascii="Arial" w:hAnsi="Arial"/>
          <w:color w:val="0000FF"/>
        </w:rPr>
        <w:instrText> HYPERLINK "https://www.pnas.org/authors/submitting-your-manuscript" \l "article-types"</w:instrText>
      </w:r>
      <w:r>
        <w:rPr>
          <w:sz w:val="20"/>
          <w:u w:val="single"/>
          <w:szCs w:val="20"/>
          <w:rFonts w:cs="Arial" w:ascii="Arial" w:hAnsi="Arial"/>
          <w:color w:val="0000FF"/>
        </w:rPr>
        <w:fldChar w:fldCharType="separate"/>
      </w:r>
      <w:r>
        <w:rPr>
          <w:rFonts w:cs="Arial" w:ascii="Arial" w:hAnsi="Arial"/>
          <w:color w:val="0000FF"/>
          <w:sz w:val="20"/>
          <w:szCs w:val="20"/>
          <w:u w:val="single"/>
        </w:rPr>
        <w:t>Author Center</w:t>
      </w:r>
      <w:r>
        <w:rPr>
          <w:sz w:val="20"/>
          <w:u w:val="single"/>
          <w:szCs w:val="20"/>
          <w:rFonts w:cs="Arial" w:ascii="Arial" w:hAnsi="Arial"/>
          <w:color w:val="0000FF"/>
        </w:rPr>
        <w:fldChar w:fldCharType="end"/>
      </w:r>
      <w:r>
        <w:rPr>
          <w:rFonts w:cs="Arial" w:ascii="Arial" w:hAnsi="Arial"/>
          <w:sz w:val="20"/>
          <w:szCs w:val="20"/>
        </w:rPr>
        <w:t xml:space="preserve">. </w:t>
      </w:r>
    </w:p>
    <w:p>
      <w:pPr>
        <w:pStyle w:val="Normal"/>
        <w:spacing w:before="0" w:after="200"/>
        <w:contextualSpacing/>
        <w:jc w:val="both"/>
        <w:rPr>
          <w:rFonts w:ascii="Arial" w:hAnsi="Arial" w:cs="Arial"/>
          <w:sz w:val="20"/>
          <w:szCs w:val="20"/>
        </w:rPr>
      </w:pPr>
      <w:r>
        <w:rPr>
          <w:rFonts w:cs="Arial" w:ascii="Arial" w:hAnsi="Arial"/>
          <w:sz w:val="20"/>
          <w:szCs w:val="20"/>
        </w:rPr>
      </w:r>
    </w:p>
    <w:p>
      <w:pPr>
        <w:pStyle w:val="Normal"/>
        <w:spacing w:before="0" w:after="200"/>
        <w:contextualSpacing/>
        <w:jc w:val="both"/>
        <w:rPr>
          <w:rFonts w:ascii="Arial" w:hAnsi="Arial" w:cs="Arial"/>
          <w:b/>
          <w:b/>
          <w:sz w:val="20"/>
          <w:szCs w:val="20"/>
        </w:rPr>
      </w:pPr>
      <w:r>
        <w:rPr>
          <w:rFonts w:cs="Arial" w:ascii="Arial" w:hAnsi="Arial"/>
          <w:b/>
          <w:sz w:val="20"/>
          <w:szCs w:val="20"/>
        </w:rPr>
        <w:t>Using the template</w:t>
      </w:r>
    </w:p>
    <w:p>
      <w:pPr>
        <w:pStyle w:val="Normal"/>
        <w:spacing w:before="0" w:after="200"/>
        <w:contextualSpacing/>
        <w:jc w:val="both"/>
        <w:rPr>
          <w:rFonts w:ascii="Arial" w:hAnsi="Arial" w:cs="Arial"/>
          <w:sz w:val="20"/>
          <w:szCs w:val="20"/>
        </w:rPr>
      </w:pPr>
      <w:r>
        <w:rPr>
          <w:rFonts w:cs="Arial" w:ascii="Arial" w:hAnsi="Arial"/>
          <w:sz w:val="20"/>
          <w:szCs w:val="20"/>
        </w:rPr>
        <w:t xml:space="preserve">Paste the appropriate text from your manuscript into the relevant section of the template. You may maintain the template formatting, or reapply styles after pasting your text into the template. </w:t>
      </w:r>
    </w:p>
    <w:p>
      <w:pPr>
        <w:pStyle w:val="Normal"/>
        <w:spacing w:before="0" w:after="200"/>
        <w:contextualSpacing/>
        <w:jc w:val="both"/>
        <w:rPr>
          <w:rFonts w:ascii="Arial" w:hAnsi="Arial" w:cs="Arial"/>
          <w:sz w:val="20"/>
          <w:szCs w:val="20"/>
        </w:rPr>
      </w:pPr>
      <w:r>
        <w:rPr>
          <w:rFonts w:cs="Arial" w:ascii="Arial" w:hAnsi="Arial"/>
          <w:sz w:val="20"/>
          <w:szCs w:val="20"/>
        </w:rPr>
      </w:r>
    </w:p>
    <w:p>
      <w:pPr>
        <w:pStyle w:val="Normal"/>
        <w:spacing w:before="0" w:after="200"/>
        <w:contextualSpacing/>
        <w:jc w:val="both"/>
        <w:rPr>
          <w:rFonts w:ascii="Arial" w:hAnsi="Arial" w:cs="Arial"/>
          <w:sz w:val="20"/>
          <w:szCs w:val="20"/>
        </w:rPr>
      </w:pPr>
      <w:r>
        <w:rPr>
          <w:rFonts w:cs="Arial" w:ascii="Arial" w:hAnsi="Arial"/>
          <w:sz w:val="20"/>
          <w:szCs w:val="20"/>
        </w:rPr>
        <w:t xml:space="preserve">Figures should be placed on separate pages with legends set immediately below each figure. Table titles should be set immediately above each table. </w:t>
      </w:r>
    </w:p>
    <w:p>
      <w:pPr>
        <w:pStyle w:val="Normal"/>
        <w:spacing w:before="0" w:after="200"/>
        <w:contextualSpacing/>
        <w:jc w:val="both"/>
        <w:rPr>
          <w:rFonts w:ascii="Arial" w:hAnsi="Arial" w:cs="Arial"/>
          <w:sz w:val="20"/>
          <w:szCs w:val="20"/>
        </w:rPr>
      </w:pPr>
      <w:r>
        <w:rPr>
          <w:rFonts w:cs="Arial" w:ascii="Arial" w:hAnsi="Arial"/>
          <w:sz w:val="20"/>
          <w:szCs w:val="20"/>
        </w:rPr>
      </w:r>
    </w:p>
    <w:p>
      <w:pPr>
        <w:pStyle w:val="Normal"/>
        <w:spacing w:before="0" w:after="200"/>
        <w:contextualSpacing/>
        <w:jc w:val="both"/>
        <w:rPr>
          <w:rFonts w:ascii="Arial" w:hAnsi="Arial" w:cs="Arial"/>
          <w:sz w:val="20"/>
          <w:szCs w:val="20"/>
        </w:rPr>
      </w:pPr>
      <w:r>
        <w:rPr>
          <w:rFonts w:cs="Arial" w:ascii="Arial" w:hAnsi="Arial"/>
          <w:sz w:val="20"/>
          <w:szCs w:val="20"/>
        </w:rPr>
        <w:t>References cited in the main text should be included in a separate reference list at the end of this file. Examples of the PNAS citation style are included below.</w:t>
      </w:r>
    </w:p>
    <w:p>
      <w:pPr>
        <w:pStyle w:val="Normal"/>
        <w:spacing w:before="0" w:after="200"/>
        <w:contextualSpacing/>
        <w:jc w:val="both"/>
        <w:rPr>
          <w:rFonts w:ascii="Arial" w:hAnsi="Arial" w:cs="Arial"/>
          <w:sz w:val="20"/>
          <w:szCs w:val="20"/>
        </w:rPr>
      </w:pPr>
      <w:r>
        <w:rPr>
          <w:rFonts w:cs="Arial" w:ascii="Arial" w:hAnsi="Arial"/>
          <w:sz w:val="20"/>
          <w:szCs w:val="20"/>
        </w:rPr>
      </w:r>
    </w:p>
    <w:p>
      <w:pPr>
        <w:pStyle w:val="Normal"/>
        <w:spacing w:before="0" w:after="200"/>
        <w:contextualSpacing/>
        <w:jc w:val="both"/>
        <w:rPr>
          <w:rFonts w:ascii="Arial" w:hAnsi="Arial" w:cs="Arial"/>
          <w:b/>
          <w:b/>
          <w:sz w:val="20"/>
          <w:szCs w:val="20"/>
        </w:rPr>
      </w:pPr>
      <w:r>
        <w:rPr>
          <w:rFonts w:cs="Arial" w:ascii="Arial" w:hAnsi="Arial"/>
          <w:b/>
          <w:sz w:val="20"/>
          <w:szCs w:val="20"/>
        </w:rPr>
        <w:t>Notes about submission</w:t>
      </w:r>
    </w:p>
    <w:p>
      <w:pPr>
        <w:pStyle w:val="Normal"/>
        <w:spacing w:before="0" w:after="200"/>
        <w:contextualSpacing/>
        <w:jc w:val="both"/>
        <w:rPr>
          <w:rFonts w:ascii="Arial" w:hAnsi="Arial" w:cs="Arial"/>
          <w:sz w:val="20"/>
          <w:szCs w:val="20"/>
        </w:rPr>
      </w:pPr>
      <w:r>
        <w:rPr>
          <w:rFonts w:cs="Arial" w:ascii="Arial" w:hAnsi="Arial"/>
          <w:sz w:val="20"/>
          <w:szCs w:val="20"/>
        </w:rPr>
        <w:t xml:space="preserve">The following items are required on the title page: </w:t>
      </w:r>
      <w:r>
        <w:rPr>
          <w:rFonts w:cs="Arial" w:ascii="Arial" w:hAnsi="Arial"/>
          <w:b/>
          <w:sz w:val="20"/>
          <w:szCs w:val="20"/>
        </w:rPr>
        <w:t>Title, Author Line, Author Affiliations, Corresponding Author information</w:t>
      </w:r>
      <w:r>
        <w:rPr>
          <w:rFonts w:cs="Arial" w:ascii="Arial" w:hAnsi="Arial"/>
          <w:sz w:val="20"/>
          <w:szCs w:val="20"/>
        </w:rPr>
        <w:t xml:space="preserve">. Each of these items </w:t>
      </w:r>
      <w:r>
        <w:rPr>
          <w:rFonts w:cs="Arial" w:ascii="Arial" w:hAnsi="Arial"/>
          <w:b/>
          <w:sz w:val="20"/>
          <w:szCs w:val="20"/>
        </w:rPr>
        <w:t>must</w:t>
      </w:r>
      <w:r>
        <w:rPr>
          <w:rFonts w:cs="Arial" w:ascii="Arial" w:hAnsi="Arial"/>
          <w:sz w:val="20"/>
          <w:szCs w:val="20"/>
        </w:rPr>
        <w:t xml:space="preserve"> be provided on the title page for us to proceed with processing your paper.</w:t>
      </w:r>
    </w:p>
    <w:p>
      <w:pPr>
        <w:pStyle w:val="Normal"/>
        <w:spacing w:before="0" w:after="200"/>
        <w:contextualSpacing/>
        <w:jc w:val="both"/>
        <w:rPr>
          <w:rFonts w:ascii="Arial" w:hAnsi="Arial" w:cs="Arial"/>
          <w:sz w:val="20"/>
          <w:szCs w:val="20"/>
        </w:rPr>
      </w:pPr>
      <w:r>
        <w:rPr>
          <w:rFonts w:cs="Arial" w:ascii="Arial" w:hAnsi="Arial"/>
          <w:sz w:val="20"/>
          <w:szCs w:val="20"/>
        </w:rPr>
      </w:r>
    </w:p>
    <w:p>
      <w:pPr>
        <w:pStyle w:val="Normal"/>
        <w:spacing w:before="0" w:after="200"/>
        <w:contextualSpacing/>
        <w:jc w:val="both"/>
        <w:rPr>
          <w:rFonts w:ascii="Arial" w:hAnsi="Arial" w:cs="Arial"/>
          <w:sz w:val="20"/>
          <w:szCs w:val="20"/>
        </w:rPr>
      </w:pPr>
      <w:r>
        <w:rPr>
          <w:rFonts w:cs="Arial" w:ascii="Arial" w:hAnsi="Arial"/>
          <w:sz w:val="20"/>
          <w:szCs w:val="20"/>
        </w:rPr>
        <w:t xml:space="preserve">You are not required to adhere to the section order outlined below. For example, you may combine your Results and Discussion or use alternate section headings. Materials and Methods should be included after the Results and Discussion in most cases. If your paper does not include the standard section headings, please provide a brief explanation in the </w:t>
      </w:r>
      <w:r>
        <w:rPr>
          <w:rFonts w:cs="Arial" w:ascii="Arial" w:hAnsi="Arial"/>
          <w:b/>
          <w:sz w:val="20"/>
          <w:szCs w:val="20"/>
        </w:rPr>
        <w:t>Comments to Editorial Staff</w:t>
      </w:r>
      <w:r>
        <w:rPr>
          <w:rFonts w:cs="Arial" w:ascii="Arial" w:hAnsi="Arial"/>
          <w:sz w:val="20"/>
          <w:szCs w:val="20"/>
        </w:rPr>
        <w:t xml:space="preserve"> field of the submission form. </w:t>
      </w:r>
    </w:p>
    <w:p>
      <w:pPr>
        <w:pStyle w:val="Normal"/>
        <w:spacing w:before="0" w:after="200"/>
        <w:contextualSpacing/>
        <w:jc w:val="both"/>
        <w:rPr>
          <w:rFonts w:ascii="Arial" w:hAnsi="Arial" w:cs="Arial"/>
          <w:sz w:val="20"/>
          <w:szCs w:val="20"/>
        </w:rPr>
      </w:pPr>
      <w:r>
        <w:rPr>
          <w:rFonts w:cs="Arial" w:ascii="Arial" w:hAnsi="Arial"/>
          <w:sz w:val="20"/>
          <w:szCs w:val="20"/>
        </w:rPr>
      </w:r>
    </w:p>
    <w:p>
      <w:pPr>
        <w:pStyle w:val="Normal"/>
        <w:spacing w:before="0" w:after="200"/>
        <w:contextualSpacing/>
        <w:jc w:val="both"/>
        <w:rPr>
          <w:rFonts w:ascii="Arial" w:hAnsi="Arial" w:cs="Arial"/>
          <w:sz w:val="20"/>
          <w:szCs w:val="20"/>
        </w:rPr>
      </w:pPr>
      <w:bookmarkStart w:id="0" w:name="_gjdgxs"/>
      <w:bookmarkEnd w:id="0"/>
      <w:r>
        <w:rPr>
          <w:rFonts w:cs="Arial" w:ascii="Arial" w:hAnsi="Arial"/>
          <w:sz w:val="20"/>
          <w:szCs w:val="20"/>
        </w:rPr>
        <w:t>You may include subheadings within the standard headings listed below. You may also include line numbers.</w:t>
      </w:r>
    </w:p>
    <w:p>
      <w:pPr>
        <w:pStyle w:val="Normal"/>
        <w:spacing w:before="0" w:after="200"/>
        <w:contextualSpacing/>
        <w:jc w:val="both"/>
        <w:rPr>
          <w:rFonts w:ascii="Arial" w:hAnsi="Arial" w:cs="Arial"/>
          <w:b/>
          <w:b/>
          <w:sz w:val="20"/>
          <w:szCs w:val="20"/>
        </w:rPr>
      </w:pPr>
      <w:r>
        <w:rPr>
          <w:rFonts w:cs="Arial" w:ascii="Arial" w:hAnsi="Arial"/>
          <w:b/>
          <w:sz w:val="20"/>
          <w:szCs w:val="20"/>
        </w:rPr>
      </w:r>
    </w:p>
    <w:p>
      <w:pPr>
        <w:pStyle w:val="Normal"/>
        <w:spacing w:before="0" w:after="200"/>
        <w:contextualSpacing/>
        <w:jc w:val="both"/>
        <w:rPr>
          <w:rFonts w:ascii="Arial" w:hAnsi="Arial" w:cs="Arial"/>
          <w:sz w:val="20"/>
          <w:szCs w:val="20"/>
        </w:rPr>
      </w:pPr>
      <w:r>
        <w:rPr>
          <w:rFonts w:cs="Arial" w:ascii="Arial" w:hAnsi="Arial"/>
          <w:b/>
          <w:sz w:val="20"/>
          <w:szCs w:val="20"/>
        </w:rPr>
        <w:t>Submitting your main manuscript</w:t>
      </w:r>
    </w:p>
    <w:p>
      <w:pPr>
        <w:pStyle w:val="Normal"/>
        <w:spacing w:before="0" w:after="200"/>
        <w:contextualSpacing/>
        <w:jc w:val="both"/>
        <w:rPr>
          <w:rFonts w:ascii="Arial" w:hAnsi="Arial" w:cs="Arial"/>
          <w:sz w:val="20"/>
          <w:szCs w:val="20"/>
        </w:rPr>
      </w:pPr>
      <w:r>
        <w:rPr>
          <w:rFonts w:cs="Arial" w:ascii="Arial" w:hAnsi="Arial"/>
          <w:sz w:val="20"/>
          <w:szCs w:val="20"/>
        </w:rPr>
        <w:t xml:space="preserve">Delete this first page, and then save your completed main text file as a PDF for submission, following instructions available </w:t>
      </w:r>
      <w:r>
        <w:fldChar w:fldCharType="begin"/>
      </w:r>
      <w:r>
        <w:rPr>
          <w:sz w:val="20"/>
          <w:u w:val="single"/>
          <w:szCs w:val="20"/>
          <w:rFonts w:cs="Arial" w:ascii="Arial" w:hAnsi="Arial"/>
          <w:color w:val="0000FF"/>
        </w:rPr>
        <w:instrText> HYPERLINK "http://www.pnas.org/site/authors/procedures.xhtml" \l "preparation"</w:instrText>
      </w:r>
      <w:r>
        <w:rPr>
          <w:sz w:val="20"/>
          <w:u w:val="single"/>
          <w:szCs w:val="20"/>
          <w:rFonts w:cs="Arial" w:ascii="Arial" w:hAnsi="Arial"/>
          <w:color w:val="0000FF"/>
        </w:rPr>
        <w:fldChar w:fldCharType="separate"/>
      </w:r>
      <w:r>
        <w:rPr>
          <w:rFonts w:cs="Arial" w:ascii="Arial" w:hAnsi="Arial"/>
          <w:color w:val="0000FF"/>
          <w:sz w:val="20"/>
          <w:szCs w:val="20"/>
          <w:u w:val="single"/>
        </w:rPr>
        <w:t>here</w:t>
      </w:r>
      <w:r>
        <w:rPr>
          <w:sz w:val="20"/>
          <w:u w:val="single"/>
          <w:szCs w:val="20"/>
          <w:rFonts w:cs="Arial" w:ascii="Arial" w:hAnsi="Arial"/>
          <w:color w:val="0000FF"/>
        </w:rPr>
        <w:fldChar w:fldCharType="end"/>
      </w:r>
      <w:r>
        <w:rPr>
          <w:rFonts w:cs="Arial" w:ascii="Arial" w:hAnsi="Arial"/>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i/>
          <w:i/>
          <w:sz w:val="18"/>
          <w:szCs w:val="18"/>
        </w:rPr>
      </w:pPr>
      <w:r>
        <w:rPr>
          <w:rFonts w:cs="Arial" w:ascii="Arial" w:hAnsi="Arial"/>
          <w:i/>
          <w:sz w:val="18"/>
          <w:szCs w:val="18"/>
        </w:rPr>
        <w:t>Updated September 2020</w:t>
      </w:r>
    </w:p>
    <w:p>
      <w:pPr>
        <w:pStyle w:val="Normal"/>
        <w:rPr>
          <w:rFonts w:ascii="Arial" w:hAnsi="Arial" w:cs="Arial"/>
          <w:sz w:val="36"/>
          <w:szCs w:val="36"/>
        </w:rPr>
      </w:pPr>
      <w:r>
        <w:rPr>
          <w:rFonts w:cs="Arial" w:ascii="Arial" w:hAnsi="Arial"/>
          <w:sz w:val="36"/>
          <w:szCs w:val="36"/>
        </w:rPr>
      </w:r>
    </w:p>
    <w:p>
      <w:pPr>
        <w:pStyle w:val="Normal"/>
        <w:jc w:val="center"/>
        <w:rPr>
          <w:sz w:val="36"/>
          <w:szCs w:val="36"/>
        </w:rPr>
      </w:pPr>
      <w:r>
        <w:br w:type="page"/>
      </w:r>
      <w:r>
        <w:rPr/>
        <w:drawing>
          <wp:inline distT="0" distB="0" distL="0" distR="0">
            <wp:extent cx="3578860" cy="17081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578860" cy="1708150"/>
                    </a:xfrm>
                    <a:prstGeom prst="rect">
                      <a:avLst/>
                    </a:prstGeom>
                  </pic:spPr>
                </pic:pic>
              </a:graphicData>
            </a:graphic>
          </wp:inline>
        </w:drawing>
      </w:r>
    </w:p>
    <w:p>
      <w:pPr>
        <w:pStyle w:val="Normal"/>
        <w:rPr>
          <w:rFonts w:ascii="Arial" w:hAnsi="Arial" w:cs="Arial"/>
          <w:b/>
          <w:b/>
          <w:sz w:val="28"/>
          <w:szCs w:val="28"/>
        </w:rPr>
      </w:pPr>
      <w:r>
        <w:rPr>
          <w:rFonts w:cs="Arial" w:ascii="Arial" w:hAnsi="Arial"/>
          <w:b/>
          <w:sz w:val="28"/>
          <w:szCs w:val="28"/>
        </w:rPr>
        <w:t>Main Manuscript for</w:t>
      </w:r>
    </w:p>
    <w:p>
      <w:pPr>
        <w:pStyle w:val="Normal"/>
        <w:rPr>
          <w:rFonts w:ascii="Arial" w:hAnsi="Arial" w:cs="Arial"/>
          <w:sz w:val="28"/>
          <w:szCs w:val="28"/>
        </w:rPr>
      </w:pPr>
      <w:r>
        <w:rPr>
          <w:rFonts w:cs="Arial" w:ascii="Arial" w:hAnsi="Arial"/>
          <w:sz w:val="28"/>
          <w:szCs w:val="28"/>
        </w:rPr>
        <w:t>Multivariate mapping of phenological genotype-by-environment interactions identifies two environmental cues for flowering in switchgrass (</w:t>
      </w:r>
      <w:r>
        <w:rPr>
          <w:rFonts w:cs="Arial" w:ascii="Arial" w:hAnsi="Arial"/>
          <w:i/>
          <w:iCs/>
          <w:sz w:val="28"/>
          <w:szCs w:val="28"/>
        </w:rPr>
        <w:t>Panicum virgatum</w:t>
      </w:r>
      <w:r>
        <w:rPr>
          <w:rFonts w:cs="Arial" w:ascii="Arial" w:hAnsi="Arial"/>
          <w:sz w:val="28"/>
          <w:szCs w:val="28"/>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Alice H. MacQueen*, Li Zhang*, Jason Bonnette, Arvid Boe, Philip Fay, Felix Fritschi, David B. Lowry, Rob Mitchell, Francis Rouquette, Yanqi Wu, Thomas Juenger</w:t>
      </w:r>
    </w:p>
    <w:p>
      <w:pPr>
        <w:pStyle w:val="Normal"/>
        <w:rPr>
          <w:rFonts w:ascii="Arial" w:hAnsi="Arial" w:cs="Arial"/>
          <w:sz w:val="20"/>
          <w:szCs w:val="20"/>
        </w:rPr>
      </w:pPr>
      <w:r>
        <w:rPr>
          <w:rFonts w:cs="Arial" w:ascii="Arial" w:hAnsi="Arial"/>
          <w:sz w:val="20"/>
          <w:szCs w:val="20"/>
        </w:rPr>
        <w:t>Paste the full affiliation list here.</w:t>
      </w:r>
    </w:p>
    <w:p>
      <w:pPr>
        <w:pStyle w:val="Normal"/>
        <w:rPr>
          <w:rFonts w:ascii="Arial" w:hAnsi="Arial" w:cs="Arial"/>
          <w:sz w:val="20"/>
          <w:szCs w:val="20"/>
        </w:rPr>
      </w:pPr>
      <w:r>
        <w:rPr>
          <w:rFonts w:cs="Arial" w:ascii="Arial" w:hAnsi="Arial"/>
          <w:sz w:val="20"/>
          <w:szCs w:val="20"/>
        </w:rPr>
        <w:t>*</w:t>
      </w:r>
      <w:r>
        <w:rPr>
          <w:rFonts w:cs="Arial" w:ascii="Arial" w:hAnsi="Arial"/>
          <w:sz w:val="20"/>
          <w:szCs w:val="20"/>
        </w:rPr>
        <w:t>Alice MacQueen, Thomas Juenger</w:t>
      </w:r>
    </w:p>
    <w:p>
      <w:pPr>
        <w:pStyle w:val="Normal"/>
        <w:rPr>
          <w:rFonts w:ascii="Arial" w:hAnsi="Arial" w:cs="Arial"/>
          <w:sz w:val="20"/>
          <w:szCs w:val="20"/>
        </w:rPr>
      </w:pPr>
      <w:bookmarkStart w:id="1" w:name="_GoBack"/>
      <w:bookmarkEnd w:id="1"/>
      <w:r>
        <w:rPr>
          <w:rFonts w:cs="Arial" w:ascii="Arial" w:hAnsi="Arial"/>
          <w:b/>
          <w:sz w:val="20"/>
          <w:szCs w:val="20"/>
        </w:rPr>
        <w:t xml:space="preserve">Email: </w:t>
      </w:r>
      <w:r>
        <w:rPr>
          <w:rFonts w:cs="Arial" w:ascii="Arial" w:hAnsi="Arial"/>
          <w:sz w:val="20"/>
          <w:szCs w:val="20"/>
        </w:rPr>
        <w:t xml:space="preserve"> </w:t>
      </w:r>
      <w:hyperlink r:id="rId3">
        <w:r>
          <w:rPr>
            <w:rStyle w:val="InternetLink"/>
            <w:rFonts w:cs="Arial" w:ascii="Arial" w:hAnsi="Arial"/>
            <w:sz w:val="20"/>
            <w:szCs w:val="20"/>
          </w:rPr>
          <w:t>alice.macqueen@utexas.edu</w:t>
        </w:r>
      </w:hyperlink>
      <w:r>
        <w:rPr>
          <w:rFonts w:cs="Arial" w:ascii="Arial" w:hAnsi="Arial"/>
          <w:sz w:val="20"/>
          <w:szCs w:val="20"/>
        </w:rPr>
        <w:t>; tjuenger@utexas.edu</w:t>
      </w:r>
    </w:p>
    <w:p>
      <w:pPr>
        <w:pStyle w:val="Normal"/>
        <w:rPr>
          <w:rFonts w:ascii="Arial" w:hAnsi="Arial" w:cs="Arial"/>
          <w:sz w:val="20"/>
          <w:szCs w:val="20"/>
        </w:rPr>
      </w:pPr>
      <w:r>
        <w:rPr>
          <w:rFonts w:cs="Arial" w:ascii="Arial" w:hAnsi="Arial"/>
          <w:sz w:val="20"/>
          <w:szCs w:val="20"/>
        </w:rPr>
        <w:t>PNAS strongly encourages authors to supply an </w:t>
      </w:r>
      <w:hyperlink r:id="rId4">
        <w:r>
          <w:rPr>
            <w:rStyle w:val="InternetLink"/>
            <w:rFonts w:cs="Arial" w:ascii="Arial" w:hAnsi="Arial"/>
            <w:sz w:val="20"/>
            <w:szCs w:val="20"/>
          </w:rPr>
          <w:t>ORCID identifier</w:t>
        </w:r>
      </w:hyperlink>
      <w:r>
        <w:rPr>
          <w:rFonts w:cs="Arial" w:ascii="Arial" w:hAnsi="Arial"/>
          <w:sz w:val="20"/>
          <w:szCs w:val="20"/>
        </w:rPr>
        <w:t xml:space="preserve"> for each author. Do not include ORCIDs in the manuscript file; individual authors must link their ORCID account to their PNAS account at </w:t>
      </w:r>
      <w:hyperlink r:id="rId5">
        <w:r>
          <w:rPr>
            <w:rStyle w:val="InternetLink"/>
            <w:rFonts w:cs="Arial" w:ascii="Arial" w:hAnsi="Arial"/>
            <w:sz w:val="20"/>
            <w:szCs w:val="20"/>
          </w:rPr>
          <w:t>www.pnascentral.org</w:t>
        </w:r>
      </w:hyperlink>
      <w:r>
        <w:rPr>
          <w:rFonts w:cs="Arial" w:ascii="Arial" w:hAnsi="Arial"/>
          <w:sz w:val="20"/>
          <w:szCs w:val="20"/>
        </w:rPr>
        <w:t>. For proper authentication, authors must provide their ORCID at submission and are not permitted to add ORCIDs on proofs.</w:t>
      </w:r>
    </w:p>
    <w:p>
      <w:pPr>
        <w:pStyle w:val="Normal"/>
        <w:rPr>
          <w:rFonts w:ascii="Arial" w:hAnsi="Arial" w:cs="Arial"/>
          <w:sz w:val="20"/>
          <w:szCs w:val="20"/>
        </w:rPr>
      </w:pPr>
      <w:r>
        <w:rPr>
          <w:rFonts w:cs="Arial" w:ascii="Arial" w:hAnsi="Arial"/>
          <w:b/>
          <w:sz w:val="20"/>
          <w:szCs w:val="20"/>
        </w:rPr>
        <w:t xml:space="preserve">Author Contributions: </w:t>
      </w:r>
      <w:r>
        <w:rPr>
          <w:rFonts w:cs="Arial" w:ascii="Arial" w:hAnsi="Arial"/>
          <w:b w:val="false"/>
          <w:bCs w:val="false"/>
          <w:sz w:val="20"/>
          <w:szCs w:val="20"/>
        </w:rPr>
        <w:t>T.E.J. designed research. D.B.L. contributed plant material and resources. J.B., D.B.L., and T.E.J. designed and executed field experiments. A.H.M. and L.Z. conducted statistical and computational analyses. The manuscript was written by A.H.M., L.Z., and T.E.J. with contributions from all authors.</w:t>
      </w:r>
    </w:p>
    <w:p>
      <w:pPr>
        <w:pStyle w:val="Normal"/>
        <w:rPr>
          <w:rFonts w:ascii="Arial" w:hAnsi="Arial" w:cs="Arial"/>
          <w:sz w:val="20"/>
          <w:szCs w:val="20"/>
        </w:rPr>
      </w:pPr>
      <w:r>
        <w:rPr>
          <w:rFonts w:cs="Arial" w:ascii="Arial" w:hAnsi="Arial"/>
          <w:b/>
          <w:sz w:val="20"/>
          <w:szCs w:val="20"/>
        </w:rPr>
        <w:t xml:space="preserve">Competing Interest Statement: </w:t>
      </w:r>
      <w:r>
        <w:rPr>
          <w:rFonts w:cs="Arial" w:ascii="Arial" w:hAnsi="Arial"/>
          <w:sz w:val="20"/>
          <w:szCs w:val="20"/>
        </w:rPr>
        <w:t xml:space="preserve">Disclose any competing interests here. </w:t>
      </w:r>
    </w:p>
    <w:p>
      <w:pPr>
        <w:pStyle w:val="Normal"/>
        <w:rPr>
          <w:rFonts w:ascii="Arial" w:hAnsi="Arial" w:cs="Arial"/>
          <w:sz w:val="20"/>
          <w:szCs w:val="20"/>
        </w:rPr>
      </w:pPr>
      <w:r>
        <w:rPr>
          <w:rFonts w:cs="Arial" w:ascii="Arial" w:hAnsi="Arial"/>
          <w:b/>
          <w:sz w:val="20"/>
          <w:szCs w:val="20"/>
        </w:rPr>
        <w:t xml:space="preserve">Classification: </w:t>
      </w:r>
      <w:r>
        <w:rPr>
          <w:rFonts w:cs="Arial" w:ascii="Arial" w:hAnsi="Arial"/>
          <w:b w:val="false"/>
          <w:bCs w:val="false"/>
          <w:sz w:val="20"/>
          <w:szCs w:val="20"/>
        </w:rPr>
        <w:t>Biological Sciences; Population Biology.</w:t>
      </w:r>
    </w:p>
    <w:p>
      <w:pPr>
        <w:pStyle w:val="Normal"/>
        <w:rPr>
          <w:rFonts w:ascii="Arial" w:hAnsi="Arial" w:cs="Arial"/>
          <w:sz w:val="20"/>
          <w:szCs w:val="20"/>
        </w:rPr>
      </w:pPr>
      <w:r>
        <w:rPr>
          <w:rFonts w:cs="Arial" w:ascii="Arial" w:hAnsi="Arial"/>
          <w:b/>
          <w:sz w:val="20"/>
          <w:szCs w:val="20"/>
        </w:rPr>
        <w:t xml:space="preserve">Keywords: </w:t>
      </w:r>
      <w:r>
        <w:rPr>
          <w:rFonts w:cs="Arial" w:ascii="Arial" w:hAnsi="Arial"/>
          <w:b w:val="false"/>
          <w:bCs w:val="false"/>
          <w:sz w:val="20"/>
          <w:szCs w:val="20"/>
        </w:rPr>
        <w:t>genotype-environment covariance, antagonistic pleiotropy, photoperiod, cumulative growing degree days, genetic variation</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This PDF file includes:</w:t>
      </w:r>
    </w:p>
    <w:p>
      <w:pPr>
        <w:pStyle w:val="Normal"/>
        <w:spacing w:before="0" w:after="200"/>
        <w:ind w:left="720" w:hanging="0"/>
        <w:contextualSpacing/>
        <w:rPr>
          <w:rFonts w:ascii="Arial" w:hAnsi="Arial" w:cs="Arial"/>
          <w:sz w:val="20"/>
          <w:szCs w:val="20"/>
        </w:rPr>
      </w:pPr>
      <w:r>
        <w:rPr>
          <w:rFonts w:cs="Arial" w:ascii="Arial" w:hAnsi="Arial"/>
          <w:sz w:val="20"/>
          <w:szCs w:val="20"/>
        </w:rPr>
        <w:t>Main Text</w:t>
      </w:r>
    </w:p>
    <w:p>
      <w:pPr>
        <w:pStyle w:val="Normal"/>
        <w:spacing w:before="0" w:after="200"/>
        <w:ind w:left="720" w:hanging="0"/>
        <w:contextualSpacing/>
        <w:rPr>
          <w:rFonts w:ascii="Arial" w:hAnsi="Arial" w:cs="Arial"/>
          <w:sz w:val="20"/>
          <w:szCs w:val="20"/>
        </w:rPr>
      </w:pPr>
      <w:r>
        <w:rPr>
          <w:rFonts w:cs="Arial" w:ascii="Arial" w:hAnsi="Arial"/>
          <w:sz w:val="20"/>
          <w:szCs w:val="20"/>
        </w:rPr>
        <w:t xml:space="preserve">Figures 1 to </w:t>
      </w:r>
      <w:r>
        <w:rPr>
          <w:rFonts w:cs="Arial" w:ascii="Arial" w:hAnsi="Arial"/>
          <w:sz w:val="20"/>
          <w:szCs w:val="20"/>
        </w:rPr>
        <w:t>4</w:t>
      </w:r>
    </w:p>
    <w:p>
      <w:pPr>
        <w:pStyle w:val="Normal"/>
        <w:spacing w:before="0" w:after="200"/>
        <w:ind w:left="720" w:hanging="0"/>
        <w:contextualSpacing/>
        <w:rPr>
          <w:rFonts w:ascii="Arial" w:hAnsi="Arial" w:cs="Arial"/>
          <w:sz w:val="20"/>
          <w:szCs w:val="20"/>
        </w:rPr>
      </w:pPr>
      <w:r>
        <w:rPr>
          <w:rFonts w:cs="Arial" w:ascii="Arial" w:hAnsi="Arial"/>
          <w:sz w:val="20"/>
          <w:szCs w:val="20"/>
        </w:rPr>
        <w:t xml:space="preserve">Tables 1 to </w:t>
      </w:r>
      <w:r>
        <w:rPr>
          <w:rFonts w:cs="Arial" w:ascii="Arial" w:hAnsi="Arial"/>
          <w:sz w:val="20"/>
          <w:szCs w:val="20"/>
        </w:rPr>
        <w:t>2</w:t>
      </w:r>
    </w:p>
    <w:p>
      <w:pPr>
        <w:pStyle w:val="Normal"/>
        <w:keepNext w:val="true"/>
        <w:pBdr/>
        <w:spacing w:before="240" w:after="60"/>
        <w:rPr>
          <w:rFonts w:ascii="Arial" w:hAnsi="Arial" w:cs="Arial"/>
          <w:b/>
          <w:b/>
          <w:color w:val="000000"/>
          <w:sz w:val="20"/>
          <w:szCs w:val="20"/>
        </w:rPr>
      </w:pPr>
      <w:bookmarkStart w:id="2" w:name="1fob9te"/>
      <w:bookmarkStart w:id="3" w:name="30j0zll"/>
      <w:bookmarkEnd w:id="2"/>
      <w:bookmarkEnd w:id="3"/>
      <w:r>
        <w:rPr>
          <w:rFonts w:cs="Arial" w:ascii="Arial" w:hAnsi="Arial"/>
          <w:b/>
          <w:color w:val="000000"/>
          <w:sz w:val="20"/>
          <w:szCs w:val="20"/>
        </w:rPr>
        <w:t>Abstract</w:t>
      </w:r>
    </w:p>
    <w:p>
      <w:pPr>
        <w:pStyle w:val="Normal"/>
        <w:keepNext w:val="true"/>
        <w:pBdr/>
        <w:spacing w:before="240" w:after="60"/>
        <w:rPr>
          <w:rFonts w:ascii="Arial" w:hAnsi="Arial" w:cs="Arial"/>
          <w:color w:val="000000"/>
          <w:sz w:val="20"/>
          <w:szCs w:val="20"/>
        </w:rPr>
      </w:pPr>
      <w:r>
        <w:rPr>
          <w:rFonts w:cs="Arial" w:ascii="Arial" w:hAnsi="Arial"/>
          <w:color w:val="000000"/>
          <w:sz w:val="20"/>
          <w:szCs w:val="20"/>
        </w:rPr>
        <w:t>Paste your abstract here. Please note it may not exceed 250 words. It may include up to three cited (non-numerical) references.</w:t>
      </w:r>
    </w:p>
    <w:p>
      <w:pPr>
        <w:pStyle w:val="Normal"/>
        <w:pBdr/>
        <w:spacing w:before="240" w:after="60"/>
        <w:rPr>
          <w:rFonts w:ascii="Arial" w:hAnsi="Arial" w:cs="Arial"/>
          <w:color w:val="000000"/>
          <w:sz w:val="20"/>
          <w:szCs w:val="20"/>
        </w:rPr>
      </w:pPr>
      <w:r>
        <w:rPr>
          <w:rFonts w:cs="Arial" w:ascii="Arial" w:hAnsi="Arial"/>
          <w:color w:val="000000"/>
          <w:sz w:val="20"/>
          <w:szCs w:val="20"/>
        </w:rPr>
        <w:tab/>
        <w:t xml:space="preserve">Plant phenological timings are major fitness components affected by multiple environmental cues; thus, phenological traits can have important genotype-by-environment (GxE) interactions. Here, we map the genetic basis of, and assign environmental </w:t>
      </w:r>
      <w:r>
        <w:rPr>
          <w:rFonts w:cs="Arial" w:ascii="Arial" w:hAnsi="Arial"/>
          <w:color w:val="000000"/>
          <w:sz w:val="20"/>
          <w:szCs w:val="20"/>
        </w:rPr>
        <w:t>cues</w:t>
      </w:r>
      <w:r>
        <w:rPr>
          <w:rFonts w:cs="Arial" w:ascii="Arial" w:hAnsi="Arial"/>
          <w:color w:val="000000"/>
          <w:sz w:val="20"/>
          <w:szCs w:val="20"/>
        </w:rPr>
        <w:t xml:space="preserve"> to, GxE in phenology in two highly divergent switchgrass (</w:t>
      </w:r>
      <w:r>
        <w:rPr>
          <w:rFonts w:cs="Arial" w:ascii="Arial" w:hAnsi="Arial"/>
          <w:i/>
          <w:color w:val="000000"/>
          <w:sz w:val="20"/>
          <w:szCs w:val="20"/>
        </w:rPr>
        <w:t>Panicum virgatum</w:t>
      </w:r>
      <w:r>
        <w:rPr>
          <w:rFonts w:cs="Arial" w:ascii="Arial" w:hAnsi="Arial"/>
          <w:color w:val="000000"/>
          <w:sz w:val="20"/>
          <w:szCs w:val="20"/>
        </w:rPr>
        <w:t xml:space="preserve">) populations. We evaluate the genetic basis of green-up and flowering as functions of </w:t>
      </w:r>
      <w:r>
        <w:rPr>
          <w:rFonts w:cs="Arial" w:ascii="Arial" w:hAnsi="Arial"/>
          <w:color w:val="000000"/>
          <w:sz w:val="20"/>
          <w:szCs w:val="20"/>
        </w:rPr>
        <w:t>weather-based</w:t>
      </w:r>
      <w:r>
        <w:rPr>
          <w:rFonts w:cs="Arial" w:ascii="Arial" w:hAnsi="Arial"/>
          <w:color w:val="000000"/>
          <w:sz w:val="20"/>
          <w:szCs w:val="20"/>
        </w:rPr>
        <w:t xml:space="preserve"> cues (e.g. daylength, temperature) using a diversity panel grown at eight common gardens spanning the central United States. We use multivariate adaptive shrinkage (mash) to determine the prevalence of and map the genomic effects covarying with environmental cues and/or major data-</w:t>
      </w:r>
      <w:r>
        <w:rPr>
          <w:rFonts w:cs="Arial" w:ascii="Arial" w:hAnsi="Arial"/>
          <w:color w:val="000000"/>
          <w:sz w:val="20"/>
          <w:szCs w:val="20"/>
        </w:rPr>
        <w:t>derived</w:t>
      </w:r>
      <w:r>
        <w:rPr>
          <w:rFonts w:cs="Arial" w:ascii="Arial" w:hAnsi="Arial"/>
          <w:color w:val="000000"/>
          <w:sz w:val="20"/>
          <w:szCs w:val="20"/>
        </w:rPr>
        <w:t xml:space="preserve"> effect patterns. &gt;26% of Gulf population SNPs affecting flowering covaried with photoperiod cues, while &gt;34% of Midwest upland population SNPs affecting flowering covaried with cumulative growing degree day cues. An independent pseudo-F2 cross of Gulf and Midwest individuals mapped 23 additive QTLs for flowering at the same common gardens, all with significant mash associations and ten with enrichment of highly significant mash associations. We demonstrate that we can identify QTL with GxE and assign them to specific environmental drivers and/or data-</w:t>
      </w:r>
      <w:r>
        <w:rPr>
          <w:rFonts w:cs="Arial" w:ascii="Arial" w:hAnsi="Arial"/>
          <w:color w:val="000000"/>
          <w:sz w:val="20"/>
          <w:szCs w:val="20"/>
        </w:rPr>
        <w:t>derived</w:t>
      </w:r>
      <w:r>
        <w:rPr>
          <w:rFonts w:cs="Arial" w:ascii="Arial" w:hAnsi="Arial"/>
          <w:color w:val="000000"/>
          <w:sz w:val="20"/>
          <w:szCs w:val="20"/>
        </w:rPr>
        <w:t xml:space="preserve"> patterns. </w:t>
      </w:r>
      <w:r>
        <w:rPr>
          <w:rFonts w:cs="Arial" w:ascii="Arial" w:hAnsi="Arial"/>
          <w:color w:val="000000"/>
          <w:sz w:val="20"/>
          <w:szCs w:val="20"/>
        </w:rPr>
        <w:t>Breeding for particular alleles at these loci could</w:t>
      </w:r>
      <w:r>
        <w:rPr>
          <w:rFonts w:cs="Arial" w:ascii="Arial" w:hAnsi="Arial"/>
          <w:color w:val="000000"/>
          <w:sz w:val="20"/>
          <w:szCs w:val="20"/>
        </w:rPr>
        <w:t xml:space="preserve"> change flowering responsiveness to photoperiod cues in switchgrass. </w:t>
      </w:r>
      <w:r>
        <w:rPr>
          <w:rFonts w:cs="Arial" w:ascii="Arial" w:hAnsi="Arial"/>
          <w:color w:val="000000"/>
          <w:sz w:val="20"/>
          <w:szCs w:val="20"/>
        </w:rPr>
        <w:t>More broadly, t</w:t>
      </w:r>
      <w:r>
        <w:rPr>
          <w:rFonts w:cs="Arial" w:ascii="Arial" w:hAnsi="Arial"/>
          <w:color w:val="000000"/>
          <w:sz w:val="20"/>
          <w:szCs w:val="20"/>
        </w:rPr>
        <w:t xml:space="preserve">his approach could be used to identify </w:t>
      </w:r>
      <w:r>
        <w:rPr>
          <w:rFonts w:cs="Arial" w:ascii="Arial" w:hAnsi="Arial"/>
          <w:color w:val="000000"/>
          <w:sz w:val="20"/>
          <w:szCs w:val="20"/>
        </w:rPr>
        <w:t>genetic marker</w:t>
      </w:r>
      <w:r>
        <w:rPr>
          <w:rFonts w:cs="Arial" w:ascii="Arial" w:hAnsi="Arial"/>
          <w:color w:val="000000"/>
          <w:sz w:val="20"/>
          <w:szCs w:val="20"/>
        </w:rPr>
        <w:t xml:space="preserve">-environment interactions in any species with related populations </w:t>
      </w:r>
      <w:r>
        <w:rPr>
          <w:rFonts w:cs="Arial" w:ascii="Arial" w:hAnsi="Arial"/>
          <w:color w:val="000000"/>
          <w:sz w:val="20"/>
          <w:szCs w:val="20"/>
        </w:rPr>
        <w:t>phenotyped</w:t>
      </w:r>
      <w:r>
        <w:rPr>
          <w:rFonts w:cs="Arial" w:ascii="Arial" w:hAnsi="Arial"/>
          <w:color w:val="000000"/>
          <w:sz w:val="20"/>
          <w:szCs w:val="20"/>
        </w:rPr>
        <w:t xml:space="preserve"> in multiple environments.</w:t>
      </w:r>
    </w:p>
    <w:p>
      <w:pPr>
        <w:pStyle w:val="Normal"/>
        <w:keepNext w:val="true"/>
        <w:pBdr/>
        <w:spacing w:before="240" w:after="60"/>
        <w:rPr>
          <w:rFonts w:ascii="Arial" w:hAnsi="Arial" w:cs="Arial"/>
          <w:b/>
          <w:b/>
          <w:color w:val="000000"/>
          <w:sz w:val="20"/>
          <w:szCs w:val="20"/>
        </w:rPr>
      </w:pPr>
      <w:r>
        <w:rPr>
          <w:rFonts w:cs="Arial" w:ascii="Arial" w:hAnsi="Arial"/>
          <w:b/>
          <w:color w:val="000000"/>
          <w:sz w:val="20"/>
          <w:szCs w:val="20"/>
        </w:rPr>
        <w:t>Significance Statement</w:t>
      </w:r>
    </w:p>
    <w:p>
      <w:pPr>
        <w:pStyle w:val="Normal"/>
        <w:keepNext w:val="true"/>
        <w:pBdr/>
        <w:spacing w:before="240" w:after="60"/>
        <w:rPr>
          <w:rFonts w:ascii="Arial" w:hAnsi="Arial" w:cs="Arial"/>
          <w:color w:val="000000"/>
          <w:sz w:val="20"/>
          <w:szCs w:val="20"/>
        </w:rPr>
      </w:pPr>
      <w:r>
        <w:rPr>
          <w:rFonts w:cs="Arial" w:ascii="Arial" w:hAnsi="Arial"/>
          <w:color w:val="000000"/>
          <w:sz w:val="20"/>
          <w:szCs w:val="20"/>
        </w:rPr>
        <w:t xml:space="preserve">The timing of plant seasonal development </w:t>
      </w:r>
      <w:r>
        <w:rPr>
          <w:rFonts w:cs="Arial" w:ascii="Arial" w:hAnsi="Arial"/>
          <w:color w:val="000000"/>
          <w:sz w:val="20"/>
          <w:szCs w:val="20"/>
        </w:rPr>
        <w:t>(phenology)</w:t>
      </w:r>
      <w:r>
        <w:rPr>
          <w:rFonts w:cs="Arial" w:ascii="Arial" w:hAnsi="Arial"/>
          <w:color w:val="000000"/>
          <w:sz w:val="20"/>
          <w:szCs w:val="20"/>
        </w:rPr>
        <w:t xml:space="preserve"> has major impacts on fitness because of the negative consequences of plant-environment mismatches. </w:t>
      </w:r>
      <w:r>
        <w:rPr>
          <w:rFonts w:cs="Arial" w:ascii="Arial" w:hAnsi="Arial"/>
          <w:color w:val="000000"/>
          <w:sz w:val="20"/>
          <w:szCs w:val="20"/>
        </w:rPr>
        <w:t xml:space="preserve">Here we map the genetic basis of two phenological events, </w:t>
      </w:r>
      <w:r>
        <w:rPr>
          <w:rFonts w:cs="Arial" w:ascii="Arial" w:hAnsi="Arial"/>
          <w:color w:val="000000"/>
          <w:sz w:val="20"/>
          <w:szCs w:val="20"/>
        </w:rPr>
        <w:t>plant greenup and flowering date,</w:t>
      </w:r>
      <w:r>
        <w:rPr>
          <w:rFonts w:cs="Arial" w:ascii="Arial" w:hAnsi="Arial"/>
          <w:color w:val="000000"/>
          <w:sz w:val="20"/>
          <w:szCs w:val="20"/>
        </w:rPr>
        <w:t xml:space="preserve"> in two genetically and phenologically distinct populations of switchgrass. We do this at eight field locations spanning the </w:t>
      </w:r>
      <w:r>
        <w:rPr>
          <w:rFonts w:cs="Arial" w:ascii="Arial" w:hAnsi="Arial"/>
          <w:color w:val="000000"/>
          <w:sz w:val="20"/>
          <w:szCs w:val="20"/>
        </w:rPr>
        <w:t>latitudinal</w:t>
      </w:r>
      <w:r>
        <w:rPr>
          <w:rFonts w:cs="Arial" w:ascii="Arial" w:hAnsi="Arial"/>
          <w:color w:val="000000"/>
          <w:sz w:val="20"/>
          <w:szCs w:val="20"/>
        </w:rPr>
        <w:t xml:space="preserve"> range of both </w:t>
      </w:r>
      <w:r>
        <w:rPr>
          <w:rFonts w:cs="Arial" w:ascii="Arial" w:hAnsi="Arial"/>
          <w:color w:val="000000"/>
          <w:sz w:val="20"/>
          <w:szCs w:val="20"/>
        </w:rPr>
        <w:t xml:space="preserve">switchgrass </w:t>
      </w:r>
      <w:r>
        <w:rPr>
          <w:rFonts w:cs="Arial" w:ascii="Arial" w:hAnsi="Arial"/>
          <w:color w:val="000000"/>
          <w:sz w:val="20"/>
          <w:szCs w:val="20"/>
        </w:rPr>
        <w:t xml:space="preserve">populations. Our approach allows us to identify regions of the genome that covary with </w:t>
      </w:r>
      <w:r>
        <w:rPr>
          <w:rFonts w:cs="Arial" w:ascii="Arial" w:hAnsi="Arial"/>
          <w:color w:val="000000"/>
          <w:sz w:val="20"/>
          <w:szCs w:val="20"/>
        </w:rPr>
        <w:t xml:space="preserve">specific </w:t>
      </w:r>
      <w:r>
        <w:rPr>
          <w:rFonts w:cs="Arial" w:ascii="Arial" w:hAnsi="Arial"/>
          <w:color w:val="000000"/>
          <w:sz w:val="20"/>
          <w:szCs w:val="20"/>
        </w:rPr>
        <w:t>weather-related environmental</w:t>
      </w:r>
      <w:r>
        <w:rPr>
          <w:rFonts w:cs="Arial" w:ascii="Arial" w:hAnsi="Arial"/>
          <w:color w:val="000000"/>
          <w:sz w:val="20"/>
          <w:szCs w:val="20"/>
        </w:rPr>
        <w:t xml:space="preserve"> features at every location. The Midwest population had genetic variation that covaried with cumulative growing degree days, a temperature-related measure, while the Gulf population had genetic variation that covaried with photoperiod, a day-length-related measure. </w:t>
      </w:r>
      <w:r>
        <w:rPr>
          <w:rFonts w:cs="Arial" w:ascii="Arial" w:hAnsi="Arial"/>
          <w:color w:val="000000"/>
          <w:sz w:val="20"/>
          <w:szCs w:val="20"/>
        </w:rPr>
        <w:t>This mapping could help many researchers explore gene-environment interactions.</w:t>
      </w:r>
    </w:p>
    <w:p>
      <w:pPr>
        <w:pStyle w:val="Normal"/>
        <w:keepNext w:val="true"/>
        <w:pBdr/>
        <w:spacing w:before="240" w:after="60"/>
        <w:contextualSpacing/>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Main Text</w:t>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Introduction</w:t>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rPr/>
      </w:pPr>
      <w:r>
        <w:rPr>
          <w:rFonts w:cs="Arial" w:ascii="Arial" w:hAnsi="Arial"/>
          <w:color w:val="000000"/>
          <w:sz w:val="20"/>
          <w:szCs w:val="20"/>
        </w:rPr>
        <w:tab/>
        <w:t>Th</w:t>
      </w:r>
      <w:r>
        <w:rPr>
          <w:rFonts w:cs="Arial" w:ascii="arial" w:hAnsi="arial"/>
          <w:color w:val="000000"/>
          <w:sz w:val="20"/>
          <w:szCs w:val="20"/>
        </w:rPr>
        <w:t xml:space="preserve">e timing of plant vegetative and reproductive development are major components of plant fitness affected by multiple external environmental cues (e.g. </w:t>
      </w:r>
      <w:r>
        <w:rPr>
          <w:rFonts w:cs="Arial" w:ascii="arial" w:hAnsi="arial"/>
          <w:color w:val="000000"/>
          <w:sz w:val="20"/>
          <w:szCs w:val="20"/>
        </w:rPr>
        <w:t>degree of winter chilling</w:t>
      </w:r>
      <w:r>
        <w:rPr>
          <w:rFonts w:cs="Arial" w:ascii="arial" w:hAnsi="arial"/>
          <w:color w:val="000000"/>
          <w:sz w:val="20"/>
          <w:szCs w:val="20"/>
        </w:rPr>
        <w:t xml:space="preserve">, day length, </w:t>
      </w:r>
      <w:r>
        <w:rPr>
          <w:rFonts w:cs="Arial" w:ascii="arial" w:hAnsi="arial"/>
          <w:color w:val="000000"/>
          <w:sz w:val="20"/>
          <w:szCs w:val="20"/>
        </w:rPr>
        <w:t xml:space="preserve">temperature, and </w:t>
      </w:r>
      <w:r>
        <w:rPr>
          <w:rFonts w:cs="Arial" w:ascii="arial" w:hAnsi="arial"/>
          <w:color w:val="000000"/>
          <w:sz w:val="20"/>
          <w:szCs w:val="20"/>
        </w:rPr>
        <w:t xml:space="preserve">water availability) that signal existing or upcoming growing conditions </w:t>
      </w:r>
      <w:r>
        <w:rPr>
          <w:rFonts w:cs="Arial" w:ascii="arial" w:hAnsi="arial"/>
          <w:b w:val="false"/>
          <w:i w:val="false"/>
          <w:caps w:val="false"/>
          <w:smallCaps w:val="false"/>
          <w:color w:val="000000"/>
          <w:position w:val="0"/>
          <w:sz w:val="20"/>
          <w:sz w:val="20"/>
          <w:szCs w:val="20"/>
          <w:u w:val="none"/>
          <w:vertAlign w:val="baseline"/>
        </w:rPr>
        <w:t>(1</w:t>
      </w:r>
      <w:r>
        <w:rPr>
          <w:b w:val="false"/>
          <w:i w:val="false"/>
          <w:caps w:val="false"/>
          <w:smallCaps w:val="false"/>
          <w:position w:val="0"/>
          <w:sz w:val="22"/>
          <w:u w:val="none"/>
          <w:vertAlign w:val="baseline"/>
        </w:rPr>
        <w:t>–3)</w:t>
      </w:r>
      <w:r>
        <w:rPr>
          <w:rFonts w:cs="Arial" w:ascii="arial" w:hAnsi="arial"/>
          <w:color w:val="000000"/>
          <w:sz w:val="20"/>
          <w:szCs w:val="20"/>
        </w:rPr>
        <w:t xml:space="preserve">. </w:t>
      </w:r>
      <w:r>
        <w:rPr>
          <w:rFonts w:cs="Arial" w:ascii="arial" w:hAnsi="arial"/>
          <w:color w:val="000000"/>
          <w:sz w:val="20"/>
          <w:szCs w:val="20"/>
        </w:rPr>
        <w:t xml:space="preserve">Genetic responses to </w:t>
      </w:r>
      <w:r>
        <w:rPr>
          <w:rFonts w:cs="Arial" w:ascii="arial" w:hAnsi="arial"/>
          <w:color w:val="000000"/>
          <w:sz w:val="20"/>
          <w:szCs w:val="20"/>
        </w:rPr>
        <w:t>environmental</w:t>
      </w:r>
      <w:r>
        <w:rPr>
          <w:rFonts w:cs="Arial" w:ascii="arial" w:hAnsi="arial"/>
          <w:color w:val="000000"/>
          <w:sz w:val="20"/>
          <w:szCs w:val="20"/>
        </w:rPr>
        <w:t xml:space="preserve"> cues determine the speed, timing, and energy apportioned to </w:t>
      </w:r>
      <w:r>
        <w:rPr>
          <w:rFonts w:cs="Arial" w:ascii="arial" w:hAnsi="arial"/>
          <w:color w:val="000000"/>
          <w:sz w:val="20"/>
          <w:szCs w:val="20"/>
        </w:rPr>
        <w:t xml:space="preserve">vegetative and </w:t>
      </w:r>
      <w:r>
        <w:rPr>
          <w:rFonts w:cs="Arial" w:ascii="arial" w:hAnsi="arial"/>
          <w:color w:val="000000"/>
          <w:sz w:val="20"/>
          <w:szCs w:val="20"/>
        </w:rPr>
        <w:t xml:space="preserve">reproductive growth and shape both the individual’s lifespan and its lifetime production of viable seed. </w:t>
      </w:r>
      <w:r>
        <w:rPr>
          <w:rFonts w:cs="Arial" w:ascii="arial" w:hAnsi="arial"/>
          <w:color w:val="000000"/>
          <w:sz w:val="20"/>
          <w:szCs w:val="20"/>
        </w:rPr>
        <w:t xml:space="preserve">Day length (or photoperiod) is one of the most predictable environmental cues, and </w:t>
      </w:r>
      <w:r>
        <w:rPr>
          <w:rFonts w:cs="Arial" w:ascii="arial" w:hAnsi="arial"/>
          <w:color w:val="000000"/>
          <w:sz w:val="20"/>
          <w:szCs w:val="20"/>
        </w:rPr>
        <w:t xml:space="preserve">genetic </w:t>
      </w:r>
      <w:r>
        <w:rPr>
          <w:rFonts w:cs="Arial" w:ascii="arial" w:hAnsi="arial"/>
          <w:color w:val="000000"/>
          <w:sz w:val="20"/>
          <w:szCs w:val="20"/>
        </w:rPr>
        <w:t xml:space="preserve">sensitivity to photoperiod protects plants from potentially fatal consequences of phenological responses to temperature cues at the “wrong” time of year. </w:t>
      </w:r>
      <w:r>
        <w:rPr>
          <w:rFonts w:cs="Arial" w:ascii="arial" w:hAnsi="arial"/>
          <w:color w:val="000000"/>
          <w:sz w:val="20"/>
          <w:szCs w:val="20"/>
        </w:rPr>
        <w:t>However, s</w:t>
      </w:r>
      <w:r>
        <w:rPr>
          <w:rFonts w:cs="Arial" w:ascii="arial" w:hAnsi="arial"/>
          <w:color w:val="000000"/>
          <w:sz w:val="20"/>
          <w:szCs w:val="20"/>
        </w:rPr>
        <w:t xml:space="preserve">pecies with wide natural distributions can segregate for multiple distinct environmentally-cued </w:t>
      </w:r>
      <w:r>
        <w:rPr>
          <w:rFonts w:cs="Arial" w:ascii="arial" w:hAnsi="arial"/>
          <w:color w:val="000000"/>
          <w:sz w:val="20"/>
          <w:szCs w:val="20"/>
        </w:rPr>
        <w:t>phenological</w:t>
      </w:r>
      <w:r>
        <w:rPr>
          <w:rFonts w:cs="Arial" w:ascii="arial" w:hAnsi="arial"/>
          <w:color w:val="000000"/>
          <w:sz w:val="20"/>
          <w:szCs w:val="20"/>
        </w:rPr>
        <w:t xml:space="preserve"> responses: distinct populations of sunflower (</w:t>
      </w:r>
      <w:r>
        <w:rPr>
          <w:rFonts w:cs="Arial" w:ascii="arial" w:hAnsi="arial"/>
          <w:i/>
          <w:iCs/>
          <w:color w:val="000000"/>
          <w:sz w:val="20"/>
          <w:szCs w:val="20"/>
        </w:rPr>
        <w:t>Helianthus annuus</w:t>
      </w:r>
      <w:r>
        <w:rPr>
          <w:rFonts w:cs="Arial" w:ascii="arial" w:hAnsi="arial"/>
          <w:color w:val="000000"/>
          <w:sz w:val="20"/>
          <w:szCs w:val="20"/>
        </w:rPr>
        <w:t xml:space="preserve">) exhibit day-neutral, facultative short day, and facultative long-day </w:t>
      </w:r>
      <w:r>
        <w:rPr>
          <w:rFonts w:cs="Arial" w:ascii="arial" w:hAnsi="arial"/>
          <w:color w:val="000000"/>
          <w:sz w:val="20"/>
          <w:szCs w:val="20"/>
        </w:rPr>
        <w:t xml:space="preserve">flowering </w:t>
      </w:r>
      <w:r>
        <w:rPr>
          <w:rFonts w:cs="Arial" w:ascii="arial" w:hAnsi="arial"/>
          <w:color w:val="000000"/>
          <w:sz w:val="20"/>
          <w:szCs w:val="20"/>
        </w:rPr>
        <w:t xml:space="preserve">responses, which vary with their environments </w:t>
      </w:r>
      <w:r>
        <w:rPr>
          <w:rFonts w:cs="Arial" w:ascii="arial" w:hAnsi="arial"/>
          <w:color w:val="000000"/>
          <w:sz w:val="20"/>
          <w:szCs w:val="20"/>
        </w:rPr>
        <w:t>(4, 5)</w:t>
      </w:r>
      <w:r>
        <w:rPr>
          <w:rFonts w:cs="Arial" w:ascii="arial" w:hAnsi="arial"/>
          <w:color w:val="000000"/>
          <w:sz w:val="20"/>
          <w:szCs w:val="20"/>
        </w:rPr>
        <w:t xml:space="preserve">. </w:t>
      </w:r>
      <w:r>
        <w:rPr>
          <w:rFonts w:cs="Arial" w:ascii="arial" w:hAnsi="arial"/>
          <w:color w:val="000000"/>
          <w:sz w:val="20"/>
          <w:szCs w:val="20"/>
        </w:rPr>
        <w:t xml:space="preserve"> </w:t>
      </w:r>
      <w:r>
        <w:rPr>
          <w:rFonts w:cs="Arial" w:ascii="arial" w:hAnsi="arial"/>
          <w:color w:val="000000"/>
          <w:sz w:val="20"/>
          <w:szCs w:val="20"/>
        </w:rPr>
        <w:t>Distinct</w:t>
      </w:r>
      <w:r>
        <w:rPr>
          <w:rFonts w:cs="Arial" w:ascii="arial" w:hAnsi="arial"/>
          <w:color w:val="000000"/>
          <w:sz w:val="20"/>
          <w:szCs w:val="20"/>
        </w:rPr>
        <w:t xml:space="preserve"> genetic responses in different environments </w:t>
      </w:r>
      <w:r>
        <w:rPr>
          <w:rFonts w:cs="Arial" w:ascii="arial" w:hAnsi="arial"/>
          <w:color w:val="000000"/>
          <w:sz w:val="20"/>
          <w:szCs w:val="20"/>
        </w:rPr>
        <w:t xml:space="preserve">are known as </w:t>
      </w:r>
      <w:r>
        <w:rPr>
          <w:rFonts w:cs="Arial" w:ascii="arial" w:hAnsi="arial"/>
          <w:color w:val="000000"/>
          <w:sz w:val="20"/>
          <w:szCs w:val="20"/>
        </w:rPr>
        <w:t>genotype by environment interactions, or GxE.</w:t>
      </w:r>
    </w:p>
    <w:p>
      <w:pPr>
        <w:pStyle w:val="Normal"/>
        <w:rPr/>
      </w:pPr>
      <w:r>
        <w:rPr>
          <w:rFonts w:cs="Arial" w:ascii="arial" w:hAnsi="arial"/>
          <w:color w:val="000000"/>
          <w:sz w:val="20"/>
          <w:szCs w:val="20"/>
        </w:rPr>
        <w:tab/>
      </w:r>
      <w:r>
        <w:rPr>
          <w:rFonts w:cs="Arial" w:ascii="arial" w:hAnsi="arial"/>
          <w:color w:val="000000"/>
          <w:sz w:val="20"/>
          <w:szCs w:val="20"/>
        </w:rPr>
        <w:t>Flowering time, in particular, is a</w:t>
      </w:r>
      <w:r>
        <w:rPr>
          <w:rFonts w:cs="Arial" w:ascii="arial" w:hAnsi="arial"/>
          <w:color w:val="000000"/>
          <w:sz w:val="20"/>
          <w:szCs w:val="20"/>
        </w:rPr>
        <w:t xml:space="preserve"> </w:t>
      </w:r>
      <w:r>
        <w:rPr>
          <w:rFonts w:cs="Arial" w:ascii="arial" w:hAnsi="arial"/>
          <w:color w:val="000000"/>
          <w:sz w:val="20"/>
          <w:szCs w:val="20"/>
        </w:rPr>
        <w:t xml:space="preserve">common subject of GxE research </w:t>
      </w:r>
      <w:r>
        <w:rPr>
          <w:rFonts w:cs="Arial" w:ascii="arial" w:hAnsi="arial"/>
          <w:b w:val="false"/>
          <w:i w:val="false"/>
          <w:caps w:val="false"/>
          <w:smallCaps w:val="false"/>
          <w:color w:val="000000"/>
          <w:position w:val="0"/>
          <w:sz w:val="20"/>
          <w:sz w:val="20"/>
          <w:szCs w:val="20"/>
          <w:u w:val="none"/>
          <w:vertAlign w:val="baseline"/>
        </w:rPr>
        <w:t>(4</w:t>
      </w:r>
      <w:r>
        <w:rPr>
          <w:b w:val="false"/>
          <w:i w:val="false"/>
          <w:caps w:val="false"/>
          <w:smallCaps w:val="false"/>
          <w:position w:val="0"/>
          <w:sz w:val="22"/>
          <w:u w:val="none"/>
          <w:vertAlign w:val="baseline"/>
        </w:rPr>
        <w:t>–10)</w:t>
      </w:r>
      <w:r>
        <w:rPr>
          <w:rFonts w:cs="Arial" w:ascii="arial" w:hAnsi="arial"/>
          <w:color w:val="000000"/>
          <w:sz w:val="20"/>
          <w:szCs w:val="20"/>
        </w:rPr>
        <w:t xml:space="preserve">, </w:t>
      </w:r>
      <w:r>
        <w:rPr>
          <w:rFonts w:cs="Arial" w:ascii="arial" w:hAnsi="arial"/>
          <w:color w:val="000000"/>
          <w:sz w:val="20"/>
          <w:szCs w:val="20"/>
        </w:rPr>
        <w:t>a</w:t>
      </w:r>
      <w:r>
        <w:rPr>
          <w:rFonts w:cs="Arial" w:ascii="arial" w:hAnsi="arial"/>
          <w:color w:val="000000"/>
          <w:sz w:val="20"/>
          <w:szCs w:val="20"/>
        </w:rPr>
        <w:t xml:space="preserve"> </w:t>
      </w:r>
      <w:r>
        <w:rPr>
          <w:rFonts w:cs="Arial" w:ascii="arial" w:hAnsi="arial"/>
          <w:color w:val="000000"/>
          <w:sz w:val="20"/>
          <w:szCs w:val="20"/>
        </w:rPr>
        <w:t xml:space="preserve">key output of selection driving adaptation to local environments </w:t>
      </w:r>
      <w:r>
        <w:rPr>
          <w:rFonts w:cs="Arial" w:ascii="arial" w:hAnsi="arial"/>
          <w:color w:val="000000"/>
          <w:sz w:val="20"/>
          <w:szCs w:val="20"/>
        </w:rPr>
        <w:t>(3, 11, 12)</w:t>
      </w:r>
      <w:r>
        <w:rPr>
          <w:rFonts w:cs="Arial" w:ascii="arial" w:hAnsi="arial"/>
          <w:color w:val="000000"/>
          <w:sz w:val="20"/>
          <w:szCs w:val="20"/>
        </w:rPr>
        <w:t xml:space="preserve">, </w:t>
      </w:r>
      <w:r>
        <w:rPr>
          <w:rFonts w:cs="Arial" w:ascii="arial" w:hAnsi="arial"/>
          <w:color w:val="000000"/>
          <w:sz w:val="20"/>
          <w:szCs w:val="20"/>
        </w:rPr>
        <w:t xml:space="preserve">and a major target for crop improvement to adapt crops to local or future environments </w:t>
      </w:r>
      <w:r>
        <w:rPr>
          <w:rFonts w:cs="Arial" w:ascii="arial" w:hAnsi="arial"/>
          <w:color w:val="000000"/>
          <w:sz w:val="20"/>
          <w:szCs w:val="20"/>
        </w:rPr>
        <w:t>(13)</w:t>
      </w:r>
      <w:r>
        <w:rPr>
          <w:rFonts w:cs="Arial" w:ascii="arial" w:hAnsi="arial"/>
          <w:color w:val="000000"/>
          <w:sz w:val="20"/>
          <w:szCs w:val="20"/>
        </w:rPr>
        <w:t xml:space="preserve">. Changing flowering responsiveness to photoperiod cues has allowed geographic range expansion and increased yields in a number of cereal species </w:t>
      </w:r>
      <w:r>
        <w:rPr>
          <w:rFonts w:cs="Arial" w:ascii="arial" w:hAnsi="arial"/>
          <w:b w:val="false"/>
          <w:i w:val="false"/>
          <w:caps w:val="false"/>
          <w:smallCaps w:val="false"/>
          <w:color w:val="000000"/>
          <w:position w:val="0"/>
          <w:sz w:val="20"/>
          <w:sz w:val="20"/>
          <w:szCs w:val="20"/>
          <w:u w:val="none"/>
          <w:vertAlign w:val="baseline"/>
        </w:rPr>
        <w:t>(14</w:t>
      </w:r>
      <w:r>
        <w:rPr>
          <w:b w:val="false"/>
          <w:i w:val="false"/>
          <w:caps w:val="false"/>
          <w:smallCaps w:val="false"/>
          <w:position w:val="0"/>
          <w:sz w:val="22"/>
          <w:u w:val="none"/>
          <w:vertAlign w:val="baseline"/>
        </w:rPr>
        <w:t>–18)</w:t>
      </w:r>
      <w:r>
        <w:rPr/>
        <w:t xml:space="preserve"> </w:t>
      </w:r>
      <w:r>
        <w:rPr>
          <w:rFonts w:cs="Arial" w:ascii="arial" w:hAnsi="arial"/>
          <w:color w:val="000000"/>
          <w:sz w:val="20"/>
          <w:szCs w:val="20"/>
        </w:rPr>
        <w:t xml:space="preserve">and other crops </w:t>
      </w:r>
      <w:r>
        <w:rPr>
          <w:rFonts w:cs="Arial" w:ascii="arial" w:hAnsi="arial"/>
          <w:color w:val="000000"/>
          <w:sz w:val="20"/>
          <w:szCs w:val="20"/>
        </w:rPr>
        <w:t>(19, 20)</w:t>
      </w:r>
      <w:r>
        <w:rPr>
          <w:rFonts w:cs="Arial" w:ascii="arial" w:hAnsi="arial"/>
          <w:color w:val="000000"/>
          <w:sz w:val="20"/>
          <w:szCs w:val="20"/>
        </w:rPr>
        <w:t xml:space="preserve">. Recent statistical advances in studying phenological GxE have involved determining critical environmental indices before the phenological event occurs, such as photothermal time within a critical growth window </w:t>
      </w:r>
      <w:r>
        <w:rPr>
          <w:rFonts w:cs="Arial" w:ascii="arial" w:hAnsi="arial"/>
          <w:color w:val="000000"/>
          <w:sz w:val="20"/>
          <w:szCs w:val="20"/>
        </w:rPr>
        <w:t>(9)</w:t>
      </w:r>
      <w:r>
        <w:rPr>
          <w:rFonts w:cs="Arial" w:ascii="arial" w:hAnsi="arial"/>
          <w:color w:val="000000"/>
          <w:sz w:val="20"/>
          <w:szCs w:val="20"/>
        </w:rPr>
        <w:t xml:space="preserve">. </w:t>
      </w:r>
      <w:r>
        <w:rPr>
          <w:rFonts w:cs="Arial" w:ascii="arial" w:hAnsi="arial"/>
          <w:color w:val="000000"/>
          <w:sz w:val="20"/>
          <w:szCs w:val="20"/>
        </w:rPr>
        <w:t>However, m</w:t>
      </w:r>
      <w:r>
        <w:rPr>
          <w:rFonts w:cs="Arial" w:ascii="arial" w:hAnsi="arial"/>
          <w:color w:val="000000"/>
          <w:sz w:val="20"/>
          <w:szCs w:val="20"/>
        </w:rPr>
        <w:t xml:space="preserve">ost studies of flowering GxE focus on finding a single, best fitting form of genotype-environment covariance, even though we expect different genetic subpopulations, and even different genomic regions, to have evolved distinct patterns of GxE. Additionally, despite theoretical models that local adaptation should involve antagonistic pleiotropy, or sign-changing GxE, at the level of individual loci </w:t>
      </w:r>
      <w:r>
        <w:rPr>
          <w:rFonts w:cs="Arial" w:ascii="arial" w:hAnsi="arial"/>
          <w:b w:val="false"/>
          <w:i w:val="false"/>
          <w:caps w:val="false"/>
          <w:smallCaps w:val="false"/>
          <w:color w:val="000000"/>
          <w:position w:val="0"/>
          <w:sz w:val="20"/>
          <w:sz w:val="20"/>
          <w:szCs w:val="20"/>
          <w:u w:val="none"/>
          <w:vertAlign w:val="baseline"/>
        </w:rPr>
        <w:t>(21</w:t>
      </w:r>
      <w:r>
        <w:rPr>
          <w:b w:val="false"/>
          <w:i w:val="false"/>
          <w:caps w:val="false"/>
          <w:smallCaps w:val="false"/>
          <w:position w:val="0"/>
          <w:sz w:val="22"/>
          <w:u w:val="none"/>
          <w:vertAlign w:val="baseline"/>
        </w:rPr>
        <w:t>–24)</w:t>
      </w:r>
      <w:r>
        <w:rPr>
          <w:rFonts w:cs="Arial" w:ascii="arial" w:hAnsi="arial"/>
          <w:color w:val="000000"/>
          <w:sz w:val="20"/>
          <w:szCs w:val="20"/>
        </w:rPr>
        <w:t xml:space="preserve">, previous work has found limited evidence of antagonistic pleiotropy </w:t>
      </w:r>
      <w:r>
        <w:rPr>
          <w:rFonts w:cs="Arial" w:ascii="arial" w:hAnsi="arial"/>
          <w:color w:val="000000"/>
          <w:sz w:val="20"/>
          <w:szCs w:val="20"/>
        </w:rPr>
        <w:t>(11, 25)</w:t>
      </w:r>
      <w:r>
        <w:rPr>
          <w:rFonts w:cs="Arial" w:ascii="arial" w:hAnsi="arial"/>
          <w:color w:val="000000"/>
          <w:sz w:val="20"/>
          <w:szCs w:val="20"/>
        </w:rPr>
        <w:t xml:space="preserve">, and in fact has suffered from a known statistical bias that reduced detection of antagonistic pleiotropy </w:t>
      </w:r>
      <w:r>
        <w:rPr>
          <w:rFonts w:cs="Arial" w:ascii="arial" w:hAnsi="arial"/>
          <w:b w:val="false"/>
          <w:i w:val="false"/>
          <w:caps w:val="false"/>
          <w:smallCaps w:val="false"/>
          <w:color w:val="000000"/>
          <w:position w:val="0"/>
          <w:sz w:val="20"/>
          <w:sz w:val="20"/>
          <w:szCs w:val="20"/>
          <w:u w:val="none"/>
          <w:vertAlign w:val="baseline"/>
        </w:rPr>
        <w:t>(25</w:t>
      </w:r>
      <w:r>
        <w:rPr>
          <w:b w:val="false"/>
          <w:i w:val="false"/>
          <w:caps w:val="false"/>
          <w:smallCaps w:val="false"/>
          <w:position w:val="0"/>
          <w:sz w:val="22"/>
          <w:u w:val="none"/>
          <w:vertAlign w:val="baseline"/>
        </w:rPr>
        <w:t>–27)</w:t>
      </w:r>
      <w:r>
        <w:rPr>
          <w:rFonts w:cs="Arial" w:ascii="arial" w:hAnsi="arial"/>
          <w:color w:val="000000"/>
          <w:sz w:val="20"/>
          <w:szCs w:val="20"/>
        </w:rPr>
        <w:t>. Thus, despite substantial interest in the frequencies of various forms of GxE, the prevalence of antagonistic pleiotropy relative to other forms of GxE remains unknown.</w:t>
      </w:r>
    </w:p>
    <w:p>
      <w:pPr>
        <w:pStyle w:val="Normal"/>
        <w:rPr/>
      </w:pPr>
      <w:r>
        <w:rPr>
          <w:rFonts w:cs="Arial" w:ascii="arial" w:hAnsi="arial"/>
          <w:color w:val="000000"/>
          <w:sz w:val="20"/>
          <w:szCs w:val="20"/>
        </w:rPr>
        <w:tab/>
        <w:t>Switchgrass (</w:t>
      </w:r>
      <w:r>
        <w:rPr>
          <w:rFonts w:cs="Arial" w:ascii="arial" w:hAnsi="arial"/>
          <w:i/>
          <w:iCs/>
          <w:color w:val="000000"/>
          <w:sz w:val="20"/>
          <w:szCs w:val="20"/>
        </w:rPr>
        <w:t>Panicum virgatum</w:t>
      </w:r>
      <w:r>
        <w:rPr>
          <w:rFonts w:cs="Arial" w:ascii="arial" w:hAnsi="arial"/>
          <w:color w:val="000000"/>
          <w:sz w:val="20"/>
          <w:szCs w:val="20"/>
        </w:rPr>
        <w:t xml:space="preserve">) is considered a short-day plant with reproductive development strongly linked to day of the year </w:t>
      </w:r>
      <w:r>
        <w:rPr>
          <w:rFonts w:cs="Arial" w:ascii="arial" w:hAnsi="arial"/>
          <w:color w:val="000000"/>
          <w:sz w:val="20"/>
          <w:szCs w:val="20"/>
        </w:rPr>
        <w:t>(28)</w:t>
      </w:r>
      <w:r>
        <w:rPr>
          <w:rFonts w:cs="Arial" w:ascii="arial" w:hAnsi="arial"/>
          <w:color w:val="000000"/>
          <w:sz w:val="20"/>
          <w:szCs w:val="20"/>
        </w:rPr>
        <w:t xml:space="preserve">. However, as part of its wide environmental adaptation across the eastern half of North America, its photoperiodicity has been predicted to differ by plant latitude of origin </w:t>
      </w:r>
      <w:r>
        <w:rPr>
          <w:rFonts w:cs="Arial" w:ascii="arial" w:hAnsi="arial"/>
          <w:color w:val="000000"/>
          <w:sz w:val="20"/>
          <w:szCs w:val="20"/>
        </w:rPr>
        <w:t>(29, 30)</w:t>
      </w:r>
      <w:r>
        <w:rPr>
          <w:rFonts w:cs="Arial" w:ascii="arial" w:hAnsi="arial"/>
          <w:color w:val="000000"/>
          <w:sz w:val="20"/>
          <w:szCs w:val="20"/>
        </w:rPr>
        <w:t>.</w:t>
      </w:r>
      <w:r>
        <w:rPr>
          <w:rFonts w:cs="Arial" w:ascii="arial" w:hAnsi="arial"/>
          <w:color w:val="000000"/>
          <w:sz w:val="20"/>
          <w:szCs w:val="20"/>
        </w:rPr>
        <w:t xml:space="preserve"> </w:t>
      </w:r>
      <w:r>
        <w:rPr>
          <w:rFonts w:cs="Arial" w:ascii="arial" w:hAnsi="arial"/>
          <w:color w:val="000000"/>
          <w:sz w:val="20"/>
          <w:szCs w:val="20"/>
        </w:rPr>
        <w:t>We previously found divergent</w:t>
      </w:r>
      <w:r>
        <w:rPr>
          <w:rFonts w:cs="Arial" w:ascii="arial" w:hAnsi="arial"/>
          <w:color w:val="000000"/>
          <w:sz w:val="20"/>
          <w:szCs w:val="20"/>
        </w:rPr>
        <w:t xml:space="preserve"> Midwest and Gulf </w:t>
      </w:r>
      <w:r>
        <w:rPr>
          <w:rFonts w:cs="Arial" w:ascii="arial" w:hAnsi="arial"/>
          <w:color w:val="000000"/>
          <w:sz w:val="20"/>
          <w:szCs w:val="20"/>
        </w:rPr>
        <w:t xml:space="preserve">genetic </w:t>
      </w:r>
      <w:r>
        <w:rPr>
          <w:rFonts w:cs="Arial" w:ascii="arial" w:hAnsi="arial"/>
          <w:color w:val="000000"/>
          <w:sz w:val="20"/>
          <w:szCs w:val="20"/>
        </w:rPr>
        <w:t xml:space="preserve">subpopulations </w:t>
      </w:r>
      <w:r>
        <w:rPr>
          <w:rFonts w:cs="Arial" w:ascii="arial" w:hAnsi="arial"/>
          <w:color w:val="000000"/>
          <w:sz w:val="20"/>
          <w:szCs w:val="20"/>
        </w:rPr>
        <w:t>of switchgrass which</w:t>
      </w:r>
      <w:r>
        <w:rPr>
          <w:rFonts w:cs="Arial" w:ascii="arial" w:hAnsi="arial"/>
          <w:color w:val="000000"/>
          <w:sz w:val="20"/>
          <w:szCs w:val="20"/>
        </w:rPr>
        <w:t xml:space="preserve"> </w:t>
      </w:r>
      <w:r>
        <w:rPr>
          <w:rFonts w:cs="Arial" w:ascii="arial" w:hAnsi="arial"/>
          <w:color w:val="000000"/>
          <w:sz w:val="20"/>
          <w:szCs w:val="20"/>
        </w:rPr>
        <w:t>segregat</w:t>
      </w:r>
      <w:r>
        <w:rPr>
          <w:rFonts w:cs="Arial" w:ascii="arial" w:hAnsi="arial"/>
          <w:color w:val="000000"/>
          <w:sz w:val="20"/>
          <w:szCs w:val="20"/>
        </w:rPr>
        <w:t>e</w:t>
      </w:r>
      <w:r>
        <w:rPr>
          <w:rFonts w:cs="Arial" w:ascii="arial" w:hAnsi="arial"/>
          <w:color w:val="000000"/>
          <w:sz w:val="20"/>
          <w:szCs w:val="20"/>
        </w:rPr>
        <w:t xml:space="preserve"> for distinct sets of climate adaptations </w:t>
      </w:r>
      <w:r>
        <w:rPr>
          <w:rFonts w:cs="Arial" w:ascii="arial" w:hAnsi="arial"/>
          <w:color w:val="000000"/>
          <w:sz w:val="20"/>
          <w:szCs w:val="20"/>
        </w:rPr>
        <w:t>(31)</w:t>
      </w:r>
      <w:r>
        <w:rPr>
          <w:rFonts w:cs="Arial" w:ascii="arial" w:hAnsi="arial"/>
          <w:color w:val="000000"/>
          <w:sz w:val="20"/>
          <w:szCs w:val="20"/>
        </w:rPr>
        <w:t xml:space="preserve">. </w:t>
      </w:r>
      <w:r>
        <w:rPr>
          <w:rFonts w:cs="Arial" w:ascii="Arial" w:hAnsi="Arial"/>
          <w:color w:val="000000"/>
          <w:sz w:val="20"/>
          <w:szCs w:val="20"/>
        </w:rPr>
        <w:t xml:space="preserve">The Midwest genetic subpopulation is primarily composed of individuals from the </w:t>
      </w:r>
      <w:r>
        <w:rPr>
          <w:rFonts w:cs="Arial" w:ascii="Arial" w:hAnsi="Arial"/>
          <w:color w:val="000000"/>
          <w:sz w:val="20"/>
          <w:szCs w:val="20"/>
        </w:rPr>
        <w:t xml:space="preserve">well-studied </w:t>
      </w:r>
      <w:r>
        <w:rPr>
          <w:rFonts w:cs="Arial" w:ascii="Arial" w:hAnsi="Arial"/>
          <w:color w:val="000000"/>
          <w:sz w:val="20"/>
          <w:szCs w:val="20"/>
        </w:rPr>
        <w:t xml:space="preserve">upland switchgrass ecotype </w:t>
      </w:r>
      <w:r>
        <w:rPr>
          <w:rFonts w:cs="Arial" w:ascii="Arial" w:hAnsi="Arial"/>
          <w:color w:val="000000"/>
          <w:sz w:val="20"/>
          <w:szCs w:val="20"/>
        </w:rPr>
        <w:t>(32, 33)</w:t>
      </w:r>
      <w:r>
        <w:rPr>
          <w:rFonts w:cs="Arial" w:ascii="Arial" w:hAnsi="Arial"/>
          <w:color w:val="000000"/>
          <w:sz w:val="20"/>
          <w:szCs w:val="20"/>
        </w:rPr>
        <w:t xml:space="preserve">, while the Gulf subpopulation has individuals </w:t>
      </w:r>
      <w:r>
        <w:rPr>
          <w:rFonts w:cs="Arial" w:ascii="Arial" w:hAnsi="Arial"/>
          <w:color w:val="000000"/>
          <w:sz w:val="20"/>
          <w:szCs w:val="20"/>
        </w:rPr>
        <w:t xml:space="preserve">from </w:t>
      </w:r>
      <w:r>
        <w:rPr>
          <w:rFonts w:cs="Arial" w:ascii="Arial" w:hAnsi="Arial"/>
          <w:color w:val="000000"/>
          <w:sz w:val="20"/>
          <w:szCs w:val="20"/>
        </w:rPr>
        <w:t xml:space="preserve">the lowland </w:t>
      </w:r>
      <w:r>
        <w:rPr>
          <w:rFonts w:cs="Arial" w:ascii="Arial" w:hAnsi="Arial"/>
          <w:color w:val="000000"/>
          <w:sz w:val="20"/>
          <w:szCs w:val="20"/>
        </w:rPr>
        <w:t xml:space="preserve">ecotype </w:t>
      </w:r>
      <w:r>
        <w:rPr>
          <w:rFonts w:cs="Arial" w:ascii="Arial" w:hAnsi="Arial"/>
          <w:color w:val="000000"/>
          <w:sz w:val="20"/>
          <w:szCs w:val="20"/>
        </w:rPr>
        <w:t xml:space="preserve">and </w:t>
      </w:r>
      <w:r>
        <w:rPr>
          <w:rFonts w:cs="Arial" w:ascii="Arial" w:hAnsi="Arial"/>
          <w:color w:val="000000"/>
          <w:sz w:val="20"/>
          <w:szCs w:val="20"/>
        </w:rPr>
        <w:t>the phenotypically intermediate</w:t>
      </w:r>
      <w:r>
        <w:rPr>
          <w:rFonts w:cs="Arial" w:ascii="Arial" w:hAnsi="Arial"/>
          <w:color w:val="000000"/>
          <w:sz w:val="20"/>
          <w:szCs w:val="20"/>
        </w:rPr>
        <w:t xml:space="preserve"> coastal ecotype. </w:t>
      </w:r>
      <w:r>
        <w:rPr>
          <w:rFonts w:cs="Arial" w:ascii="arial" w:hAnsi="arial"/>
          <w:color w:val="000000"/>
          <w:sz w:val="20"/>
          <w:szCs w:val="20"/>
        </w:rPr>
        <w:t xml:space="preserve">Here, we </w:t>
      </w:r>
      <w:r>
        <w:rPr>
          <w:rFonts w:cs="Arial" w:ascii="arial" w:hAnsi="arial"/>
          <w:color w:val="000000"/>
          <w:sz w:val="20"/>
          <w:szCs w:val="20"/>
        </w:rPr>
        <w:t>test if these di</w:t>
      </w:r>
      <w:r>
        <w:rPr>
          <w:rFonts w:cs="Arial" w:ascii="arial" w:hAnsi="arial"/>
          <w:color w:val="000000"/>
          <w:sz w:val="20"/>
          <w:szCs w:val="20"/>
        </w:rPr>
        <w:t>vergent populations differ in their</w:t>
      </w:r>
      <w:r>
        <w:rPr>
          <w:rFonts w:cs="Arial" w:ascii="arial" w:hAnsi="arial"/>
          <w:color w:val="000000"/>
          <w:sz w:val="20"/>
          <w:szCs w:val="20"/>
        </w:rPr>
        <w:t xml:space="preserve"> phenological adaptations </w:t>
      </w:r>
      <w:r>
        <w:rPr>
          <w:rFonts w:cs="Arial" w:ascii="arial" w:hAnsi="arial"/>
          <w:color w:val="000000"/>
          <w:sz w:val="20"/>
          <w:szCs w:val="20"/>
        </w:rPr>
        <w:t xml:space="preserve">and hence their </w:t>
      </w:r>
      <w:r>
        <w:rPr>
          <w:rFonts w:cs="Arial" w:ascii="arial" w:hAnsi="arial"/>
          <w:color w:val="000000"/>
          <w:sz w:val="20"/>
          <w:szCs w:val="20"/>
        </w:rPr>
        <w:t xml:space="preserve">phenological </w:t>
      </w:r>
      <w:r>
        <w:rPr>
          <w:rFonts w:cs="Arial" w:ascii="arial" w:hAnsi="arial"/>
          <w:color w:val="000000"/>
          <w:sz w:val="20"/>
          <w:szCs w:val="20"/>
        </w:rPr>
        <w:t>GxE</w:t>
      </w:r>
      <w:r>
        <w:rPr>
          <w:rFonts w:cs="Arial" w:ascii="arial" w:hAnsi="arial"/>
          <w:color w:val="000000"/>
          <w:sz w:val="20"/>
          <w:szCs w:val="20"/>
        </w:rPr>
        <w:t>. We phenotype a diversity panel of hundreds of switchgrass genotypes from the Midwest and Gulf subpopulation</w:t>
      </w:r>
      <w:r>
        <w:rPr>
          <w:rFonts w:cs="Arial" w:ascii="arial" w:hAnsi="arial"/>
          <w:color w:val="000000"/>
          <w:sz w:val="20"/>
          <w:szCs w:val="20"/>
        </w:rPr>
        <w:t>s</w:t>
      </w:r>
      <w:r>
        <w:rPr>
          <w:rFonts w:cs="Arial" w:ascii="arial" w:hAnsi="arial"/>
          <w:color w:val="000000"/>
          <w:sz w:val="20"/>
          <w:szCs w:val="20"/>
        </w:rPr>
        <w:t xml:space="preserve"> for the start of vegetative development (“green-up”) and reproductive development (flowering) at eight common garden locations spanning 17 degrees of latitude. </w:t>
      </w:r>
      <w:r>
        <w:rPr>
          <w:rFonts w:cs="Arial" w:ascii="arial" w:hAnsi="arial"/>
          <w:color w:val="000000"/>
          <w:sz w:val="20"/>
          <w:szCs w:val="20"/>
        </w:rPr>
        <w:t xml:space="preserve">These gardens </w:t>
      </w:r>
      <w:r>
        <w:rPr>
          <w:rFonts w:cs="Arial" w:ascii="Arial" w:hAnsi="Arial"/>
          <w:color w:val="000000"/>
          <w:sz w:val="20"/>
          <w:szCs w:val="20"/>
        </w:rPr>
        <w:t xml:space="preserve">cover the majority of the latitudinal and climatic range of switchgrass and therefore capture the most comprehensive picture to date of the environmental variation this species encounters. </w:t>
      </w:r>
      <w:r>
        <w:rPr>
          <w:rFonts w:cs="Arial" w:ascii="arial" w:hAnsi="arial"/>
          <w:color w:val="000000"/>
          <w:sz w:val="20"/>
          <w:szCs w:val="20"/>
        </w:rPr>
        <w:t>We determine the genetic component of variation for green-up and flowering date</w:t>
      </w:r>
      <w:r>
        <w:rPr>
          <w:rFonts w:cs="Arial" w:ascii="arial" w:hAnsi="arial"/>
          <w:color w:val="000000"/>
          <w:sz w:val="20"/>
          <w:szCs w:val="20"/>
        </w:rPr>
        <w:t>s</w:t>
      </w:r>
      <w:r>
        <w:rPr>
          <w:rFonts w:cs="Arial" w:ascii="arial" w:hAnsi="arial"/>
          <w:color w:val="000000"/>
          <w:sz w:val="20"/>
          <w:szCs w:val="20"/>
        </w:rPr>
        <w:t xml:space="preserve">, then genetically map these </w:t>
      </w:r>
      <w:r>
        <w:rPr>
          <w:rFonts w:cs="Arial" w:ascii="arial" w:hAnsi="arial"/>
          <w:color w:val="000000"/>
          <w:sz w:val="20"/>
          <w:szCs w:val="20"/>
        </w:rPr>
        <w:t>traits</w:t>
      </w:r>
      <w:r>
        <w:rPr>
          <w:rFonts w:cs="Arial" w:ascii="arial" w:hAnsi="arial"/>
          <w:color w:val="000000"/>
          <w:sz w:val="20"/>
          <w:szCs w:val="20"/>
        </w:rPr>
        <w:t xml:space="preserve"> using multivariate adaptive shrinkage (mash), which allows us to specify multiple ways genetic markers may covary with the environment, and does not have a statistical bias in detecting frequencies of different forms of GxE. To confirm the </w:t>
      </w:r>
      <w:r>
        <w:rPr>
          <w:rFonts w:cs="Arial" w:ascii="arial" w:hAnsi="arial"/>
          <w:color w:val="000000"/>
          <w:sz w:val="20"/>
          <w:szCs w:val="20"/>
        </w:rPr>
        <w:t>genetic mapping</w:t>
      </w:r>
      <w:r>
        <w:rPr>
          <w:rFonts w:cs="Arial" w:ascii="arial" w:hAnsi="arial"/>
          <w:color w:val="000000"/>
          <w:sz w:val="20"/>
          <w:szCs w:val="20"/>
        </w:rPr>
        <w:t xml:space="preserve"> of GxE </w:t>
      </w:r>
      <w:r>
        <w:rPr>
          <w:rFonts w:cs="Arial" w:ascii="arial" w:hAnsi="arial"/>
          <w:color w:val="000000"/>
          <w:sz w:val="20"/>
          <w:szCs w:val="20"/>
        </w:rPr>
        <w:t>using</w:t>
      </w:r>
      <w:r>
        <w:rPr>
          <w:rFonts w:cs="Arial" w:ascii="arial" w:hAnsi="arial"/>
          <w:color w:val="000000"/>
          <w:sz w:val="20"/>
          <w:szCs w:val="20"/>
        </w:rPr>
        <w:t xml:space="preserve"> mash, we compare to results from an outbred pseudo-F2 cross grown at the same sites. Taken together, our results allowed us to describe the environmental cues, genes, and alleles affecting flowering across two divergent natural populations of switchgrass.</w:t>
      </w:r>
    </w:p>
    <w:p>
      <w:pPr>
        <w:pStyle w:val="Normal"/>
        <w:rPr/>
      </w:pPr>
      <w:r>
        <w:rPr>
          <w:rFonts w:cs="Arial" w:ascii="Arial" w:hAnsi="Arial"/>
          <w:b/>
          <w:color w:val="000000"/>
          <w:sz w:val="20"/>
          <w:szCs w:val="20"/>
        </w:rPr>
        <w:t>Results</w:t>
      </w:r>
    </w:p>
    <w:p>
      <w:pPr>
        <w:pStyle w:val="Normal"/>
        <w:rPr>
          <w:rFonts w:ascii="Arial" w:hAnsi="Arial" w:cs="Arial"/>
          <w:b/>
          <w:b/>
          <w:color w:val="000000"/>
          <w:sz w:val="20"/>
          <w:szCs w:val="20"/>
        </w:rPr>
      </w:pPr>
      <w:r>
        <w:rPr>
          <w:rFonts w:cs="Arial" w:ascii="Arial" w:hAnsi="Arial"/>
          <w:b/>
          <w:color w:val="000000"/>
          <w:sz w:val="20"/>
          <w:szCs w:val="20"/>
        </w:rPr>
        <w:tab/>
      </w:r>
      <w:r>
        <w:rPr>
          <w:rFonts w:cs="Arial" w:ascii="Arial" w:hAnsi="Arial"/>
          <w:b w:val="false"/>
          <w:bCs w:val="false"/>
          <w:color w:val="000000"/>
          <w:sz w:val="20"/>
          <w:szCs w:val="20"/>
        </w:rPr>
        <w:t>In o</w:t>
      </w:r>
      <w:r>
        <w:rPr>
          <w:rFonts w:cs="Arial" w:ascii="Arial" w:hAnsi="Arial"/>
          <w:b w:val="false"/>
          <w:bCs w:val="false"/>
          <w:color w:val="000000"/>
          <w:sz w:val="20"/>
          <w:szCs w:val="20"/>
        </w:rPr>
        <w:t xml:space="preserve">ur diversity panel of tetraploid switchgrass </w:t>
      </w:r>
      <w:r>
        <w:rPr>
          <w:rFonts w:cs="Arial" w:ascii="Arial" w:hAnsi="Arial"/>
          <w:b w:val="false"/>
          <w:bCs w:val="false"/>
          <w:color w:val="000000"/>
          <w:sz w:val="20"/>
          <w:szCs w:val="20"/>
        </w:rPr>
        <w:t>(31)</w:t>
      </w:r>
      <w:r>
        <w:rPr>
          <w:rFonts w:cs="Arial" w:ascii="Arial" w:hAnsi="Arial"/>
          <w:b w:val="false"/>
          <w:bCs w:val="false"/>
          <w:color w:val="000000"/>
          <w:sz w:val="20"/>
          <w:szCs w:val="20"/>
        </w:rPr>
        <w:t xml:space="preserve">, genotypes from the Gulf and Midwest genetic subpopulations had distinct phenological responses and distinct patterns of phenological correlations across our common garden sites (Fig. </w:t>
      </w:r>
      <w:r>
        <w:rPr>
          <w:rFonts w:cs="Arial" w:ascii="Arial" w:hAnsi="Arial"/>
          <w:b/>
          <w:bCs/>
          <w:color w:val="000000"/>
          <w:sz w:val="20"/>
          <w:szCs w:val="20"/>
        </w:rPr>
        <w:t>1a-b</w:t>
      </w:r>
      <w:r>
        <w:rPr>
          <w:rFonts w:cs="Arial" w:ascii="Arial" w:hAnsi="Arial"/>
          <w:b w:val="false"/>
          <w:bCs w:val="false"/>
          <w:color w:val="000000"/>
          <w:sz w:val="20"/>
          <w:szCs w:val="20"/>
        </w:rPr>
        <w:t xml:space="preserve">). </w:t>
      </w:r>
      <w:r>
        <w:rPr>
          <w:rFonts w:cs="Arial" w:ascii="Arial" w:hAnsi="Arial"/>
          <w:b w:val="false"/>
          <w:bCs w:val="false"/>
          <w:color w:val="000000"/>
          <w:sz w:val="20"/>
          <w:szCs w:val="20"/>
        </w:rPr>
        <w:t xml:space="preserve">At the three Texas common gardens (hereafter ‘Texas’ gardens), located within the natural range of the Gulf subpopulation, Gulf green-up occurred before Midwestern green-up, and Gulf flowering occurred after Midwestern flowering (Fig </w:t>
      </w:r>
      <w:r>
        <w:rPr>
          <w:rFonts w:cs="Arial" w:ascii="Arial" w:hAnsi="Arial"/>
          <w:b/>
          <w:bCs/>
          <w:color w:val="000000"/>
          <w:sz w:val="20"/>
          <w:szCs w:val="20"/>
        </w:rPr>
        <w:t>1a</w:t>
      </w:r>
      <w:r>
        <w:rPr>
          <w:rFonts w:cs="Arial" w:ascii="Arial" w:hAnsi="Arial"/>
          <w:b w:val="false"/>
          <w:bCs w:val="false"/>
          <w:color w:val="000000"/>
          <w:sz w:val="20"/>
          <w:szCs w:val="20"/>
        </w:rPr>
        <w:t xml:space="preserve">). At the four northernmost common gardens (hereafter ‘North’ gardens), located within the natural range of the Midwest genetic subpopulation, both Gulf green-up and flowering occurred after Midwest green-up and flowering. At the Oklahoma common garden, located near the natural range limits of both the Gulf and the Midwest subpopulations, Gulf and Midwest green-up occurred over the same time period. </w:t>
      </w:r>
      <w:r>
        <w:rPr>
          <w:rFonts w:cs="Arial" w:ascii="Arial" w:hAnsi="Arial"/>
          <w:color w:val="000000"/>
          <w:sz w:val="20"/>
          <w:szCs w:val="20"/>
        </w:rPr>
        <w:t xml:space="preserve">These patterns led to strong negative phenotypic correlations for green-up between the North and Texas common gardens and contributed to positive phenotypic correlations for flowering time of larger magnitude at more northern gardens (Fig. </w:t>
      </w:r>
      <w:r>
        <w:rPr>
          <w:rFonts w:cs="Arial" w:ascii="Arial" w:hAnsi="Arial"/>
          <w:b/>
          <w:bCs/>
          <w:color w:val="000000"/>
          <w:sz w:val="20"/>
          <w:szCs w:val="20"/>
        </w:rPr>
        <w:t>1b</w:t>
      </w:r>
      <w:r>
        <w:rPr>
          <w:rFonts w:cs="Arial" w:ascii="Arial" w:hAnsi="Arial"/>
          <w:color w:val="000000"/>
          <w:sz w:val="20"/>
          <w:szCs w:val="20"/>
        </w:rPr>
        <w:t>).</w:t>
      </w:r>
    </w:p>
    <w:p>
      <w:pPr>
        <w:pStyle w:val="Normal"/>
        <w:rPr>
          <w:rFonts w:ascii="Arial" w:hAnsi="Arial" w:cs="Arial"/>
          <w:b/>
          <w:b/>
          <w:color w:val="000000"/>
          <w:sz w:val="20"/>
          <w:szCs w:val="20"/>
        </w:rPr>
      </w:pPr>
      <w:r>
        <w:rPr>
          <w:rFonts w:cs="Arial" w:ascii="Arial" w:hAnsi="Arial"/>
          <w:color w:val="000000"/>
          <w:sz w:val="20"/>
          <w:szCs w:val="20"/>
        </w:rPr>
        <w:tab/>
      </w:r>
      <w:r>
        <w:rPr>
          <w:rFonts w:cs="Arial" w:ascii="Arial" w:hAnsi="Arial"/>
          <w:color w:val="000000"/>
          <w:sz w:val="20"/>
          <w:szCs w:val="20"/>
        </w:rPr>
        <w:t>Narrow-sense heritabilities (h</w:t>
      </w:r>
      <w:r>
        <w:rPr>
          <w:rFonts w:cs="Arial" w:ascii="Arial" w:hAnsi="Arial"/>
          <w:color w:val="000000"/>
          <w:sz w:val="20"/>
          <w:szCs w:val="20"/>
          <w:vertAlign w:val="superscript"/>
        </w:rPr>
        <w:t>2</w:t>
      </w:r>
      <w:r>
        <w:rPr>
          <w:rFonts w:cs="Arial" w:ascii="Arial" w:hAnsi="Arial"/>
          <w:color w:val="000000"/>
          <w:sz w:val="20"/>
          <w:szCs w:val="20"/>
        </w:rPr>
        <w:t>) indicated th</w:t>
      </w:r>
      <w:r>
        <w:rPr>
          <w:rFonts w:cs="Arial" w:ascii="Arial" w:hAnsi="Arial"/>
          <w:color w:val="000000"/>
          <w:sz w:val="20"/>
          <w:szCs w:val="20"/>
        </w:rPr>
        <w:t>at</w:t>
      </w:r>
      <w:r>
        <w:rPr>
          <w:rFonts w:cs="Arial" w:ascii="Arial" w:hAnsi="Arial"/>
          <w:color w:val="000000"/>
          <w:sz w:val="20"/>
          <w:szCs w:val="20"/>
        </w:rPr>
        <w:t xml:space="preserve"> rank-changing genotype by environment </w:t>
      </w:r>
      <w:r>
        <w:rPr>
          <w:rFonts w:cs="Arial" w:ascii="Arial" w:hAnsi="Arial"/>
          <w:color w:val="000000"/>
          <w:sz w:val="20"/>
          <w:szCs w:val="20"/>
        </w:rPr>
        <w:t>(GxE)</w:t>
      </w:r>
      <w:r>
        <w:rPr>
          <w:rFonts w:cs="Arial" w:ascii="Arial" w:hAnsi="Arial"/>
          <w:color w:val="000000"/>
          <w:sz w:val="20"/>
          <w:szCs w:val="20"/>
        </w:rPr>
        <w:t xml:space="preserve"> interactions for these phenotypes </w:t>
      </w:r>
      <w:r>
        <w:rPr>
          <w:rFonts w:cs="Arial" w:ascii="Arial" w:hAnsi="Arial"/>
          <w:color w:val="000000"/>
          <w:sz w:val="20"/>
          <w:szCs w:val="20"/>
        </w:rPr>
        <w:t xml:space="preserve">were present </w:t>
      </w:r>
      <w:r>
        <w:rPr>
          <w:rFonts w:cs="Arial" w:ascii="Arial" w:hAnsi="Arial"/>
          <w:color w:val="000000"/>
          <w:sz w:val="20"/>
          <w:szCs w:val="20"/>
        </w:rPr>
        <w:t>across the eight common gardens</w:t>
      </w:r>
      <w:bookmarkStart w:id="4" w:name="_Hlk55390589"/>
      <w:bookmarkEnd w:id="4"/>
      <w:r>
        <w:rPr>
          <w:rFonts w:cs="Arial" w:ascii="Arial" w:hAnsi="Arial"/>
          <w:color w:val="000000"/>
          <w:sz w:val="20"/>
          <w:szCs w:val="20"/>
        </w:rPr>
        <w:t xml:space="preserve"> (Fig </w:t>
      </w:r>
      <w:r>
        <w:rPr>
          <w:rFonts w:cs="Arial" w:ascii="Arial" w:hAnsi="Arial"/>
          <w:b/>
          <w:bCs/>
          <w:color w:val="000000"/>
          <w:sz w:val="20"/>
          <w:szCs w:val="20"/>
        </w:rPr>
        <w:t>1c</w:t>
      </w:r>
      <w:r>
        <w:rPr>
          <w:rFonts w:cs="Arial" w:ascii="Arial" w:hAnsi="Arial"/>
          <w:color w:val="000000"/>
          <w:sz w:val="20"/>
          <w:szCs w:val="20"/>
        </w:rPr>
        <w:t>). h</w:t>
      </w:r>
      <w:r>
        <w:rPr>
          <w:rFonts w:cs="Arial" w:ascii="Arial" w:hAnsi="Arial"/>
          <w:color w:val="000000"/>
          <w:sz w:val="20"/>
          <w:szCs w:val="20"/>
          <w:vertAlign w:val="superscript"/>
        </w:rPr>
        <w:t>2</w:t>
      </w:r>
      <w:r>
        <w:rPr>
          <w:rFonts w:cs="Arial" w:ascii="Arial" w:hAnsi="Arial"/>
          <w:color w:val="000000"/>
          <w:sz w:val="20"/>
          <w:szCs w:val="20"/>
        </w:rPr>
        <w:t xml:space="preserve"> were typically quite high at individual gardens: 59% on average for green-up date, and 87% for flowering date. However, h</w:t>
      </w:r>
      <w:r>
        <w:rPr>
          <w:rFonts w:cs="Arial" w:ascii="Arial" w:hAnsi="Arial"/>
          <w:color w:val="000000"/>
          <w:sz w:val="20"/>
          <w:szCs w:val="20"/>
          <w:vertAlign w:val="superscript"/>
        </w:rPr>
        <w:t>2</w:t>
      </w:r>
      <w:r>
        <w:rPr>
          <w:rFonts w:cs="Arial" w:ascii="Arial" w:hAnsi="Arial"/>
          <w:color w:val="000000"/>
          <w:sz w:val="20"/>
          <w:szCs w:val="20"/>
        </w:rPr>
        <w:t xml:space="preserve"> were variable across common gardens, </w:t>
      </w:r>
      <w:r>
        <w:rPr>
          <w:rFonts w:cs="Arial" w:ascii="Arial" w:hAnsi="Arial"/>
          <w:color w:val="000000"/>
          <w:sz w:val="20"/>
          <w:szCs w:val="20"/>
        </w:rPr>
        <w:t>and g</w:t>
      </w:r>
      <w:r>
        <w:rPr>
          <w:rFonts w:cs="Arial" w:ascii="Arial" w:hAnsi="Arial"/>
          <w:color w:val="000000"/>
          <w:sz w:val="20"/>
          <w:szCs w:val="20"/>
        </w:rPr>
        <w:t>reen-up dates were uncorrelated (r</w:t>
      </w:r>
      <w:r>
        <w:rPr>
          <w:rFonts w:cs="Arial" w:ascii="Arial" w:hAnsi="Arial"/>
          <w:color w:val="000000"/>
          <w:sz w:val="20"/>
          <w:szCs w:val="20"/>
          <w:vertAlign w:val="superscript"/>
        </w:rPr>
        <w:t xml:space="preserve">2 </w:t>
      </w:r>
      <w:r>
        <w:rPr>
          <w:rFonts w:cs="Arial" w:ascii="Arial" w:hAnsi="Arial"/>
          <w:color w:val="000000"/>
          <w:sz w:val="20"/>
          <w:szCs w:val="20"/>
        </w:rPr>
        <w:t xml:space="preserve">&lt; 0.2) or negatively correlated across gardens (Fig. </w:t>
      </w:r>
      <w:r>
        <w:rPr>
          <w:rFonts w:cs="Arial" w:ascii="Arial" w:hAnsi="Arial"/>
          <w:b/>
          <w:bCs/>
          <w:color w:val="000000"/>
          <w:sz w:val="20"/>
          <w:szCs w:val="20"/>
        </w:rPr>
        <w:t>1b</w:t>
      </w:r>
      <w:r>
        <w:rPr>
          <w:rFonts w:cs="Arial" w:ascii="Arial" w:hAnsi="Arial"/>
          <w:color w:val="000000"/>
          <w:sz w:val="20"/>
          <w:szCs w:val="20"/>
        </w:rPr>
        <w:t>). These negative and small correlations undoubtedly contributed to the low h</w:t>
      </w:r>
      <w:r>
        <w:rPr>
          <w:rFonts w:cs="Arial" w:ascii="Arial" w:hAnsi="Arial"/>
          <w:color w:val="000000"/>
          <w:sz w:val="20"/>
          <w:szCs w:val="20"/>
          <w:vertAlign w:val="superscript"/>
        </w:rPr>
        <w:t>2</w:t>
      </w:r>
      <w:r>
        <w:rPr>
          <w:rFonts w:cs="Arial" w:ascii="Arial" w:hAnsi="Arial"/>
          <w:color w:val="000000"/>
          <w:sz w:val="20"/>
          <w:szCs w:val="20"/>
        </w:rPr>
        <w:t xml:space="preserve"> values for green-up and flowering date when estimated jointly at all eight gardens: h</w:t>
      </w:r>
      <w:r>
        <w:rPr>
          <w:rFonts w:cs="Arial" w:ascii="Arial" w:hAnsi="Arial"/>
          <w:color w:val="000000"/>
          <w:sz w:val="20"/>
          <w:szCs w:val="20"/>
          <w:vertAlign w:val="superscript"/>
        </w:rPr>
        <w:t>2</w:t>
      </w:r>
      <w:r>
        <w:rPr>
          <w:rFonts w:cs="Arial" w:ascii="Arial" w:hAnsi="Arial"/>
          <w:color w:val="000000"/>
          <w:sz w:val="20"/>
          <w:szCs w:val="20"/>
        </w:rPr>
        <w:t xml:space="preserve"> was 0.8% for green-up and 23.2% for flowering date in models including all gardens.</w:t>
      </w:r>
    </w:p>
    <w:p>
      <w:pPr>
        <w:pStyle w:val="Normal"/>
        <w:rPr>
          <w:rFonts w:ascii="Arial" w:hAnsi="Arial" w:cs="Arial"/>
          <w:b/>
          <w:b/>
          <w:color w:val="000000"/>
          <w:sz w:val="20"/>
          <w:szCs w:val="20"/>
        </w:rPr>
      </w:pPr>
      <w:r>
        <w:rPr>
          <w:rFonts w:cs="Arial" w:ascii="Arial" w:hAnsi="Arial"/>
          <w:color w:val="000000"/>
          <w:sz w:val="20"/>
          <w:szCs w:val="20"/>
        </w:rPr>
        <w:tab/>
        <w:t xml:space="preserve">Genetic (G) and GxE effects explained little variation in green-up date </w:t>
      </w:r>
      <w:r>
        <w:rPr>
          <w:rFonts w:cs="Arial" w:ascii="Arial" w:hAnsi="Arial"/>
          <w:color w:val="000000"/>
          <w:sz w:val="20"/>
          <w:szCs w:val="20"/>
        </w:rPr>
        <w:t>across all gardens</w:t>
      </w:r>
      <w:r>
        <w:rPr>
          <w:rFonts w:cs="Arial" w:ascii="Arial" w:hAnsi="Arial"/>
          <w:color w:val="000000"/>
          <w:sz w:val="20"/>
          <w:szCs w:val="20"/>
        </w:rPr>
        <w:t xml:space="preserve"> (&lt;10%), but did explain substantially more variation when green-up was defined as functions of weather-based cues (Fig. </w:t>
      </w:r>
      <w:r>
        <w:rPr>
          <w:rFonts w:cs="Arial" w:ascii="Arial" w:hAnsi="Arial"/>
          <w:b/>
          <w:bCs/>
          <w:color w:val="000000"/>
          <w:sz w:val="20"/>
          <w:szCs w:val="20"/>
        </w:rPr>
        <w:t>S1</w:t>
      </w:r>
      <w:r>
        <w:rPr>
          <w:rFonts w:cs="Arial" w:ascii="Arial" w:hAnsi="Arial"/>
          <w:color w:val="000000"/>
          <w:sz w:val="20"/>
          <w:szCs w:val="20"/>
        </w:rPr>
        <w:t xml:space="preserve">). G and GxE explained more variation in green-up date (up to 60%) when the sites were restricted to either the Texas or North set of gardens, but in this case, defining green-up as functions of weather-based cues did not explain additional variation in green-up date (Fig. </w:t>
      </w:r>
      <w:r>
        <w:rPr>
          <w:rFonts w:cs="Arial" w:ascii="Arial" w:hAnsi="Arial"/>
          <w:b/>
          <w:bCs/>
          <w:color w:val="000000"/>
          <w:sz w:val="20"/>
          <w:szCs w:val="20"/>
        </w:rPr>
        <w:t>S1</w:t>
      </w:r>
      <w:r>
        <w:rPr>
          <w:rFonts w:cs="Arial" w:ascii="Arial" w:hAnsi="Arial"/>
          <w:color w:val="000000"/>
          <w:sz w:val="20"/>
          <w:szCs w:val="20"/>
        </w:rPr>
        <w:t xml:space="preserve">). </w:t>
      </w:r>
      <w:r>
        <w:rPr>
          <w:rFonts w:cs="Arial" w:ascii="Arial" w:hAnsi="Arial"/>
          <w:color w:val="000000"/>
          <w:sz w:val="20"/>
          <w:szCs w:val="20"/>
        </w:rPr>
        <w:t>Interestingly, G and GxE effects were larger for populations grown at gardens outside of th</w:t>
      </w:r>
      <w:r>
        <w:rPr>
          <w:rFonts w:cs="Arial" w:ascii="Arial" w:hAnsi="Arial"/>
          <w:color w:val="000000"/>
          <w:sz w:val="20"/>
          <w:szCs w:val="20"/>
        </w:rPr>
        <w:t>at population’s</w:t>
      </w:r>
      <w:r>
        <w:rPr>
          <w:rFonts w:cs="Arial" w:ascii="Arial" w:hAnsi="Arial"/>
          <w:color w:val="000000"/>
          <w:sz w:val="20"/>
          <w:szCs w:val="20"/>
        </w:rPr>
        <w:t xml:space="preserve"> native range.</w:t>
      </w:r>
    </w:p>
    <w:p>
      <w:pPr>
        <w:pStyle w:val="Normal"/>
        <w:rPr>
          <w:rFonts w:ascii="Arial" w:hAnsi="Arial" w:cs="Arial"/>
          <w:b/>
          <w:b/>
          <w:color w:val="000000"/>
          <w:sz w:val="20"/>
          <w:szCs w:val="20"/>
        </w:rPr>
      </w:pPr>
      <w:r>
        <w:rPr>
          <w:rFonts w:cs="Arial" w:ascii="Arial" w:hAnsi="Arial"/>
          <w:color w:val="000000"/>
          <w:sz w:val="20"/>
          <w:szCs w:val="20"/>
        </w:rPr>
        <w:tab/>
        <w:t xml:space="preserve">In contrast to green-up date, G and GxE effects explained moderate variation in flowering date, and explained significantly more variation when flowering was defined, not as a Julian date, but as a function of a </w:t>
      </w:r>
      <w:r>
        <w:rPr>
          <w:rFonts w:cs="Arial" w:ascii="Arial" w:hAnsi="Arial"/>
          <w:color w:val="000000"/>
          <w:sz w:val="20"/>
          <w:szCs w:val="20"/>
        </w:rPr>
        <w:t>weather-based</w:t>
      </w:r>
      <w:r>
        <w:rPr>
          <w:rFonts w:cs="Arial" w:ascii="Arial" w:hAnsi="Arial"/>
          <w:color w:val="000000"/>
          <w:sz w:val="20"/>
          <w:szCs w:val="20"/>
        </w:rPr>
        <w:t xml:space="preserve"> cue (Fig. </w:t>
      </w:r>
      <w:r>
        <w:rPr>
          <w:rFonts w:cs="Arial" w:ascii="Arial" w:hAnsi="Arial"/>
          <w:b/>
          <w:bCs/>
          <w:color w:val="000000"/>
          <w:sz w:val="20"/>
          <w:szCs w:val="20"/>
        </w:rPr>
        <w:t>1d</w:t>
      </w:r>
      <w:r>
        <w:rPr>
          <w:rFonts w:cs="Arial" w:ascii="Arial" w:hAnsi="Arial"/>
          <w:color w:val="000000"/>
          <w:sz w:val="20"/>
          <w:szCs w:val="20"/>
        </w:rPr>
        <w:t xml:space="preserve">). In the Gulf subpopulation, defining flowering as a function of daylength explained more G and GxE than as a function of Julian date (Fig. </w:t>
      </w:r>
      <w:r>
        <w:rPr>
          <w:rFonts w:cs="Arial" w:ascii="Arial" w:hAnsi="Arial"/>
          <w:b/>
          <w:bCs/>
          <w:color w:val="000000"/>
          <w:sz w:val="20"/>
          <w:szCs w:val="20"/>
        </w:rPr>
        <w:t>1d</w:t>
      </w:r>
      <w:r>
        <w:rPr>
          <w:rFonts w:cs="Arial" w:ascii="Arial" w:hAnsi="Arial"/>
          <w:color w:val="000000"/>
          <w:sz w:val="20"/>
          <w:szCs w:val="20"/>
        </w:rPr>
        <w:t xml:space="preserve">). In the Midwest subpopulation, a cumulative GDD (green-up to flowering) cue explained more G than flowering date, while three additional cues (daylength, rainfall between green-up and flowering, and rainfall in the five days before flowering) explained more G and GxE than flowering date (Fig. </w:t>
      </w:r>
      <w:r>
        <w:rPr>
          <w:rFonts w:cs="Arial" w:ascii="Arial" w:hAnsi="Arial"/>
          <w:b/>
          <w:bCs/>
          <w:color w:val="000000"/>
          <w:sz w:val="20"/>
          <w:szCs w:val="20"/>
        </w:rPr>
        <w:t>1d</w:t>
      </w:r>
      <w:r>
        <w:rPr>
          <w:rFonts w:cs="Arial" w:ascii="Arial" w:hAnsi="Arial"/>
          <w:color w:val="000000"/>
          <w:sz w:val="20"/>
          <w:szCs w:val="20"/>
        </w:rPr>
        <w:t>). The variation explained by G and GxE was also higher when the common gardens were restricted to either the Texas or the North gardens. For subpopulations growing outside their native ranges, G and GxE explained a substantial amount of variation in flowering as a function of rainfall cues, particularly for rainfall on the day of flowering. Taken together, these data indicate moderate additive genetic variation for a cumulative GDD-based flowering cue in the Midwest subpopulation, and similar genetic variation for a daylength-based flowering cue in the Gulf subpopulation. They also suggest the presence of GxE for rainfall, cumulative GDD, and photoperiod cues for flowering.</w:t>
      </w:r>
    </w:p>
    <w:p>
      <w:pPr>
        <w:pStyle w:val="Normal"/>
        <w:rPr>
          <w:rFonts w:ascii="Arial" w:hAnsi="Arial" w:cs="Arial"/>
          <w:b/>
          <w:b/>
          <w:color w:val="000000"/>
          <w:sz w:val="20"/>
          <w:szCs w:val="20"/>
        </w:rPr>
      </w:pPr>
      <w:r>
        <w:rPr>
          <w:rFonts w:cs="Arial" w:ascii="Arial" w:hAnsi="Arial"/>
          <w:i/>
          <w:iCs/>
          <w:color w:val="000000"/>
          <w:sz w:val="20"/>
          <w:szCs w:val="20"/>
        </w:rPr>
        <w:t>Genotype-by-environment effects on green-up and flowering as functions of environmental cues</w:t>
      </w:r>
      <w:r>
        <w:rPr>
          <w:rFonts w:cs="Arial" w:ascii="Arial" w:hAnsi="Arial"/>
          <w:color w:val="000000"/>
          <w:sz w:val="20"/>
          <w:szCs w:val="20"/>
        </w:rPr>
        <w:tab/>
      </w:r>
      <w:r>
        <w:rPr>
          <w:rFonts w:cs="Arial" w:ascii="Arial" w:hAnsi="Arial"/>
          <w:color w:val="000000"/>
          <w:sz w:val="20"/>
          <w:szCs w:val="20"/>
        </w:rPr>
        <w:t xml:space="preserve">We further explored how genetic variation in phenology covaried with environmental cues using mash </w:t>
      </w:r>
      <w:r>
        <w:rPr>
          <w:rFonts w:cs="Arial" w:ascii="Arial" w:hAnsi="Arial"/>
          <w:color w:val="000000"/>
          <w:sz w:val="20"/>
          <w:szCs w:val="20"/>
        </w:rPr>
        <w:t xml:space="preserve">to </w:t>
      </w:r>
      <w:r>
        <w:rPr>
          <w:rFonts w:cs="Arial" w:ascii="Arial" w:hAnsi="Arial"/>
          <w:color w:val="000000"/>
          <w:sz w:val="20"/>
          <w:szCs w:val="20"/>
        </w:rPr>
        <w:t xml:space="preserve">jointly </w:t>
      </w:r>
      <w:r>
        <w:rPr>
          <w:rFonts w:cs="Arial" w:ascii="Arial" w:hAnsi="Arial"/>
          <w:color w:val="000000"/>
          <w:sz w:val="20"/>
          <w:szCs w:val="20"/>
        </w:rPr>
        <w:t>estimate SNP-</w:t>
      </w:r>
      <w:r>
        <w:rPr>
          <w:rFonts w:cs="Arial" w:ascii="Arial" w:hAnsi="Arial"/>
          <w:color w:val="000000"/>
          <w:sz w:val="20"/>
          <w:szCs w:val="20"/>
        </w:rPr>
        <w:t>associated trait effects across all common gardens for the</w:t>
      </w:r>
      <w:r>
        <w:rPr>
          <w:rFonts w:cs="Arial" w:ascii="Arial" w:hAnsi="Arial"/>
          <w:color w:val="000000"/>
          <w:sz w:val="20"/>
          <w:szCs w:val="20"/>
        </w:rPr>
        <w:t xml:space="preserve"> Midwest, Gulf, and ‘Both’ subpopulations</w:t>
      </w:r>
      <w:r>
        <w:rPr>
          <w:rFonts w:cs="Arial" w:ascii="Arial" w:hAnsi="Arial"/>
          <w:color w:val="000000"/>
          <w:sz w:val="20"/>
          <w:szCs w:val="20"/>
        </w:rPr>
        <w:t xml:space="preserve">. We included “hypothesis-based” covariance matrices in each mash model that </w:t>
      </w:r>
      <w:r>
        <w:rPr>
          <w:rFonts w:cs="Arial" w:ascii="Arial" w:hAnsi="Arial"/>
          <w:color w:val="000000"/>
          <w:sz w:val="20"/>
          <w:szCs w:val="20"/>
        </w:rPr>
        <w:t xml:space="preserve">captured the covariance of weather-based phenological cues for cloned genotypes across our common gardens (Table 1; Supplement). These </w:t>
      </w:r>
      <w:r>
        <w:rPr>
          <w:rFonts w:cs="Arial" w:ascii="Arial" w:hAnsi="Arial"/>
          <w:color w:val="000000"/>
          <w:sz w:val="20"/>
          <w:szCs w:val="20"/>
        </w:rPr>
        <w:t xml:space="preserve">matrices </w:t>
      </w:r>
      <w:r>
        <w:rPr>
          <w:rFonts w:cs="Arial" w:ascii="Arial" w:hAnsi="Arial"/>
          <w:color w:val="000000"/>
          <w:sz w:val="20"/>
          <w:szCs w:val="20"/>
        </w:rPr>
        <w:t xml:space="preserve">differed substantially by weather-based cue and by population of origin of the genotypes included (Fig </w:t>
      </w:r>
      <w:r>
        <w:rPr>
          <w:rFonts w:cs="Arial" w:ascii="Arial" w:hAnsi="Arial"/>
          <w:b/>
          <w:bCs/>
          <w:color w:val="000000"/>
          <w:sz w:val="20"/>
          <w:szCs w:val="20"/>
        </w:rPr>
        <w:t>2a, d</w:t>
      </w:r>
      <w:r>
        <w:rPr>
          <w:rFonts w:cs="Arial" w:ascii="Arial" w:hAnsi="Arial"/>
          <w:color w:val="000000"/>
          <w:sz w:val="20"/>
          <w:szCs w:val="20"/>
        </w:rPr>
        <w:t xml:space="preserve">). For mash models </w:t>
      </w:r>
      <w:r>
        <w:rPr>
          <w:rFonts w:cs="Arial" w:ascii="Arial" w:hAnsi="Arial"/>
          <w:color w:val="000000"/>
          <w:sz w:val="20"/>
          <w:szCs w:val="20"/>
        </w:rPr>
        <w:t>estimating</w:t>
      </w:r>
      <w:r>
        <w:rPr>
          <w:rFonts w:cs="Arial" w:ascii="Arial" w:hAnsi="Arial"/>
          <w:color w:val="000000"/>
          <w:sz w:val="20"/>
          <w:szCs w:val="20"/>
        </w:rPr>
        <w:t xml:space="preserve"> SNP effects </w:t>
      </w:r>
      <w:r>
        <w:rPr>
          <w:rFonts w:cs="Arial" w:ascii="Arial" w:hAnsi="Arial"/>
          <w:color w:val="000000"/>
          <w:sz w:val="20"/>
          <w:szCs w:val="20"/>
        </w:rPr>
        <w:t>for</w:t>
      </w:r>
      <w:r>
        <w:rPr>
          <w:rFonts w:cs="Arial" w:ascii="Arial" w:hAnsi="Arial"/>
          <w:color w:val="000000"/>
          <w:sz w:val="20"/>
          <w:szCs w:val="20"/>
        </w:rPr>
        <w:t xml:space="preserve"> Both subpopulations, the hypothesis-based covariance matrices significantly improved the model fit (green-up likelihood ratio (LR) = 774; flowering LR = 2942). For </w:t>
      </w:r>
      <w:r>
        <w:rPr>
          <w:rFonts w:cs="Arial" w:ascii="Arial" w:hAnsi="Arial"/>
          <w:color w:val="000000"/>
          <w:sz w:val="20"/>
          <w:szCs w:val="20"/>
        </w:rPr>
        <w:t xml:space="preserve">single subpopulation </w:t>
      </w:r>
      <w:r>
        <w:rPr>
          <w:rFonts w:cs="Arial" w:ascii="Arial" w:hAnsi="Arial"/>
          <w:color w:val="000000"/>
          <w:sz w:val="20"/>
          <w:szCs w:val="20"/>
        </w:rPr>
        <w:t>mash models, the hypothesis-based covariance matrices improved model fits for Midwest green-up and for Gulf flowering, but did not improve it for the other phenotype (Midwest green-</w:t>
      </w:r>
      <w:r>
        <w:rPr>
          <w:rFonts w:cs="Arial" w:ascii="Arial" w:hAnsi="Arial"/>
          <w:color w:val="000000"/>
          <w:sz w:val="20"/>
          <w:szCs w:val="20"/>
        </w:rPr>
        <w:t>u</w:t>
      </w:r>
      <w:r>
        <w:rPr>
          <w:rFonts w:cs="Arial" w:ascii="Arial" w:hAnsi="Arial"/>
          <w:color w:val="000000"/>
          <w:sz w:val="20"/>
          <w:szCs w:val="20"/>
        </w:rPr>
        <w:t xml:space="preserve">p LR = 866; flowering LR = -3063; Gulf green-up LR = -318; flowering LR = 1279). </w:t>
      </w:r>
    </w:p>
    <w:p>
      <w:pPr>
        <w:pStyle w:val="Normal"/>
        <w:rPr>
          <w:rFonts w:ascii="Arial" w:hAnsi="Arial" w:cs="Arial"/>
          <w:b/>
          <w:b/>
          <w:color w:val="000000"/>
          <w:sz w:val="20"/>
          <w:szCs w:val="20"/>
        </w:rPr>
      </w:pPr>
      <w:r>
        <w:rPr>
          <w:rFonts w:cs="Arial" w:ascii="Arial" w:hAnsi="Arial"/>
          <w:color w:val="000000"/>
          <w:sz w:val="20"/>
          <w:szCs w:val="20"/>
        </w:rPr>
        <w:tab/>
        <w:t xml:space="preserve">SNP-associated effects covaried with different weather-based phenological cues in the different subpopulations </w:t>
      </w:r>
      <w:r>
        <w:rPr>
          <w:rFonts w:cs="Arial" w:ascii="Arial" w:hAnsi="Arial"/>
          <w:color w:val="000000"/>
          <w:sz w:val="20"/>
          <w:szCs w:val="20"/>
        </w:rPr>
        <w:t xml:space="preserve">(Fig </w:t>
      </w:r>
      <w:r>
        <w:rPr>
          <w:rFonts w:cs="Arial" w:ascii="Arial" w:hAnsi="Arial"/>
          <w:b/>
          <w:bCs/>
          <w:color w:val="000000"/>
          <w:sz w:val="20"/>
          <w:szCs w:val="20"/>
        </w:rPr>
        <w:t>2b,e</w:t>
      </w:r>
      <w:r>
        <w:rPr>
          <w:rFonts w:cs="Arial" w:ascii="Arial" w:hAnsi="Arial"/>
          <w:color w:val="000000"/>
          <w:sz w:val="20"/>
          <w:szCs w:val="20"/>
        </w:rPr>
        <w:t>)</w:t>
      </w:r>
      <w:r>
        <w:rPr>
          <w:rFonts w:cs="Arial" w:ascii="Arial" w:hAnsi="Arial"/>
          <w:color w:val="000000"/>
          <w:sz w:val="20"/>
          <w:szCs w:val="20"/>
        </w:rPr>
        <w:t xml:space="preserve">. In total, 28.6% of the posterior weight of SNP effects in the mash model of Midwest green-up fell on </w:t>
      </w:r>
      <w:r>
        <w:rPr>
          <w:rFonts w:cs="Arial" w:ascii="Arial" w:hAnsi="Arial"/>
          <w:color w:val="000000"/>
          <w:sz w:val="20"/>
          <w:szCs w:val="20"/>
        </w:rPr>
        <w:t xml:space="preserve">a covariance matrix of the average temperature in the 10 days prior to Midwest green-up. Mash models of Gulf and Both subpopulation green-up did not have high weights on this matrix; instead, they had small but non-zero weights on two other hypothesis-based matrices, average temperature and cumulative GDD in the 18 days prior to green-up. </w:t>
      </w:r>
    </w:p>
    <w:p>
      <w:pPr>
        <w:pStyle w:val="Normal"/>
        <w:rPr>
          <w:rFonts w:ascii="Arial" w:hAnsi="Arial" w:cs="Arial"/>
          <w:b/>
          <w:b/>
          <w:color w:val="000000"/>
          <w:sz w:val="20"/>
          <w:szCs w:val="20"/>
        </w:rPr>
      </w:pPr>
      <w:r>
        <w:rPr>
          <w:rFonts w:cs="Arial" w:ascii="Arial" w:hAnsi="Arial"/>
          <w:color w:val="000000"/>
          <w:sz w:val="20"/>
          <w:szCs w:val="20"/>
        </w:rPr>
        <w:tab/>
        <w:t>For flowering, too, d</w:t>
      </w:r>
      <w:r>
        <w:rPr>
          <w:rFonts w:cs="Arial" w:ascii="Arial" w:hAnsi="Arial"/>
          <w:color w:val="000000"/>
          <w:sz w:val="20"/>
          <w:szCs w:val="20"/>
        </w:rPr>
        <w:t xml:space="preserve">istinct weather-based phenological cues captured SNP-associated effects in the </w:t>
      </w:r>
      <w:r>
        <w:rPr>
          <w:rFonts w:cs="Arial" w:ascii="Arial" w:hAnsi="Arial"/>
          <w:color w:val="000000"/>
          <w:sz w:val="20"/>
          <w:szCs w:val="20"/>
        </w:rPr>
        <w:t>two</w:t>
      </w:r>
      <w:r>
        <w:rPr>
          <w:rFonts w:cs="Arial" w:ascii="Arial" w:hAnsi="Arial"/>
          <w:color w:val="000000"/>
          <w:sz w:val="20"/>
          <w:szCs w:val="20"/>
        </w:rPr>
        <w:t xml:space="preserve"> subpopulations.</w:t>
      </w:r>
      <w:r>
        <w:rPr>
          <w:rFonts w:eastAsia="Calibri" w:cs="DejaVu Sans" w:ascii="Arial" w:hAnsi="Arial"/>
          <w:color w:val="000000"/>
          <w:kern w:val="0"/>
          <w:sz w:val="20"/>
          <w:szCs w:val="20"/>
          <w:lang w:eastAsia="en-US" w:bidi="ar-SA"/>
        </w:rPr>
        <w:t xml:space="preserve"> 12.1% of SNP effects on flowering in the Gulf subpopulation covaried with daylength in the time period when Gulf and Midwest genotypes were flowering, while 14% of SNP effects covaried with daylength change shortly before Gulf genotypes were flowering (when Midwest genotypes were flowering, Fig. </w:t>
      </w:r>
      <w:r>
        <w:rPr>
          <w:rFonts w:eastAsia="Calibri" w:cs="DejaVu Sans" w:ascii="Arial" w:hAnsi="Arial"/>
          <w:b/>
          <w:bCs/>
          <w:color w:val="000000"/>
          <w:kern w:val="0"/>
          <w:sz w:val="20"/>
          <w:szCs w:val="20"/>
          <w:lang w:eastAsia="en-US" w:bidi="ar-SA"/>
        </w:rPr>
        <w:t>2e</w:t>
      </w:r>
      <w:r>
        <w:rPr>
          <w:rFonts w:eastAsia="Calibri" w:cs="DejaVu Sans" w:ascii="Arial" w:hAnsi="Arial"/>
          <w:color w:val="000000"/>
          <w:kern w:val="0"/>
          <w:sz w:val="20"/>
          <w:szCs w:val="20"/>
          <w:lang w:eastAsia="en-US" w:bidi="ar-SA"/>
        </w:rPr>
        <w:t xml:space="preserve">). In contrast, many SNP effects on flowering in the Midwest subpopulation covaried with cumulative GDD from green-up to the time period during (14.6%) and after (14.0%) when Midwest genotypes were flowering (i.e. when Midwest or Midwest &amp; Gulf genotypes were flowering, Fig. </w:t>
      </w:r>
      <w:r>
        <w:rPr>
          <w:rFonts w:eastAsia="Calibri" w:cs="DejaVu Sans" w:ascii="Arial" w:hAnsi="Arial"/>
          <w:b/>
          <w:bCs/>
          <w:color w:val="000000"/>
          <w:kern w:val="0"/>
          <w:sz w:val="20"/>
          <w:szCs w:val="20"/>
          <w:lang w:eastAsia="en-US" w:bidi="ar-SA"/>
        </w:rPr>
        <w:t>2e</w:t>
      </w:r>
      <w:r>
        <w:rPr>
          <w:rFonts w:eastAsia="Calibri" w:cs="DejaVu Sans" w:ascii="Arial" w:hAnsi="Arial"/>
          <w:color w:val="000000"/>
          <w:kern w:val="0"/>
          <w:sz w:val="20"/>
          <w:szCs w:val="20"/>
          <w:lang w:eastAsia="en-US" w:bidi="ar-SA"/>
        </w:rPr>
        <w:t xml:space="preserve">). SNP effects in the Midwest subpopulation did not covary with patterns of daylength or daylength change at flowering. Few (2.3%) SNP effects in the Gulf subpopulation covaried with flowering cumulative GDD. </w:t>
      </w:r>
      <w:r>
        <w:rPr>
          <w:rFonts w:eastAsia="Calibri" w:cs="DejaVu Sans" w:ascii="Arial" w:hAnsi="Arial"/>
          <w:color w:val="000000"/>
          <w:kern w:val="0"/>
          <w:sz w:val="20"/>
          <w:szCs w:val="20"/>
          <w:lang w:eastAsia="en-US" w:bidi="ar-SA"/>
        </w:rPr>
        <w:t>I</w:t>
      </w:r>
      <w:r>
        <w:rPr>
          <w:rFonts w:eastAsia="Calibri" w:cs="DejaVu Sans" w:ascii="Arial" w:hAnsi="Arial"/>
          <w:color w:val="000000"/>
          <w:kern w:val="0"/>
          <w:sz w:val="20"/>
          <w:szCs w:val="20"/>
          <w:lang w:eastAsia="en-US" w:bidi="ar-SA"/>
        </w:rPr>
        <w:t xml:space="preserve">n Both subpopulations, all three of these matrices had large posterior weights, indicating that mash detected covariance with both sets of environmental cues in effects estimated using the combined population. Overall, flowering posterior weights on hypothesis-based matrices were higher than green-up weights for all three genetic subgroups (Fig </w:t>
      </w:r>
      <w:r>
        <w:rPr>
          <w:rFonts w:eastAsia="Calibri" w:cs="DejaVu Sans" w:ascii="Arial" w:hAnsi="Arial"/>
          <w:b/>
          <w:bCs/>
          <w:color w:val="000000"/>
          <w:kern w:val="0"/>
          <w:sz w:val="20"/>
          <w:szCs w:val="20"/>
          <w:lang w:eastAsia="en-US" w:bidi="ar-SA"/>
        </w:rPr>
        <w:t>2c,f</w:t>
      </w:r>
      <w:r>
        <w:rPr>
          <w:rFonts w:eastAsia="Calibri" w:cs="DejaVu Sans" w:ascii="Arial" w:hAnsi="Arial"/>
          <w:color w:val="000000"/>
          <w:kern w:val="0"/>
          <w:sz w:val="20"/>
          <w:szCs w:val="20"/>
          <w:lang w:eastAsia="en-US" w:bidi="ar-SA"/>
        </w:rPr>
        <w:t>). This indicated that our hypothesized environmental drivers captured more variation in SNP effects for flowering than for green-up.</w:t>
      </w:r>
    </w:p>
    <w:p>
      <w:pPr>
        <w:pStyle w:val="Normal"/>
        <w:rPr>
          <w:rFonts w:ascii="Arial" w:hAnsi="Arial" w:cs="Arial"/>
          <w:b/>
          <w:b/>
          <w:color w:val="000000"/>
          <w:sz w:val="20"/>
          <w:szCs w:val="20"/>
        </w:rPr>
      </w:pPr>
      <w:r>
        <w:rPr>
          <w:i/>
          <w:iCs/>
        </w:rPr>
        <w:t>Major additional patterns of genotype-by-environment effects on green-up and flowering</w:t>
      </w:r>
      <w:r>
        <w:rPr>
          <w:rFonts w:eastAsia="Calibri" w:cs="DejaVu Sans" w:ascii="Arial" w:hAnsi="Arial"/>
          <w:color w:val="000000"/>
          <w:kern w:val="0"/>
          <w:sz w:val="20"/>
          <w:szCs w:val="20"/>
          <w:lang w:eastAsia="en-US" w:bidi="ar-SA"/>
        </w:rPr>
        <w:tab/>
        <w:t>In al</w:t>
      </w:r>
      <w:r>
        <w:rPr>
          <w:rFonts w:eastAsia="Calibri" w:cs="DejaVu Sans" w:ascii="Arial" w:hAnsi="Arial"/>
          <w:color w:val="000000"/>
          <w:kern w:val="0"/>
          <w:sz w:val="20"/>
          <w:szCs w:val="20"/>
          <w:lang w:eastAsia="en-US" w:bidi="ar-SA"/>
        </w:rPr>
        <w:t>l</w:t>
      </w:r>
      <w:r>
        <w:rPr>
          <w:rFonts w:eastAsia="Calibri" w:cs="DejaVu Sans" w:ascii="Arial" w:hAnsi="Arial"/>
          <w:color w:val="000000"/>
          <w:kern w:val="0"/>
          <w:sz w:val="20"/>
          <w:szCs w:val="20"/>
          <w:lang w:eastAsia="en-US" w:bidi="ar-SA"/>
        </w:rPr>
        <w:t xml:space="preserve"> six mash models, the hypothesis-based covariance matrices captured a minority of the significant SNP effects present in the data (Figure </w:t>
      </w:r>
      <w:r>
        <w:rPr>
          <w:rFonts w:eastAsia="Calibri" w:cs="DejaVu Sans" w:ascii="Arial" w:hAnsi="Arial"/>
          <w:b/>
          <w:bCs/>
          <w:color w:val="000000"/>
          <w:kern w:val="0"/>
          <w:sz w:val="20"/>
          <w:szCs w:val="20"/>
          <w:lang w:eastAsia="en-US" w:bidi="ar-SA"/>
        </w:rPr>
        <w:t>2c,f</w:t>
      </w:r>
      <w:r>
        <w:rPr>
          <w:rFonts w:eastAsia="Calibri" w:cs="DejaVu Sans" w:ascii="Arial" w:hAnsi="Arial"/>
          <w:color w:val="000000"/>
          <w:kern w:val="0"/>
          <w:sz w:val="20"/>
          <w:szCs w:val="20"/>
          <w:lang w:eastAsia="en-US" w:bidi="ar-SA"/>
        </w:rPr>
        <w:t>). Most SNPs had high posterior weights on the data-</w:t>
      </w:r>
      <w:r>
        <w:rPr>
          <w:rFonts w:eastAsia="Calibri" w:cs="DejaVu Sans" w:ascii="Arial" w:hAnsi="Arial"/>
          <w:color w:val="000000"/>
          <w:kern w:val="0"/>
          <w:sz w:val="20"/>
          <w:szCs w:val="20"/>
          <w:lang w:eastAsia="en-US" w:bidi="ar-SA"/>
        </w:rPr>
        <w:t>derived (“DD”)</w:t>
      </w:r>
      <w:r>
        <w:rPr>
          <w:rFonts w:eastAsia="Calibri" w:cs="DejaVu Sans" w:ascii="Arial" w:hAnsi="Arial"/>
          <w:color w:val="000000"/>
          <w:kern w:val="0"/>
          <w:sz w:val="20"/>
          <w:szCs w:val="20"/>
          <w:lang w:eastAsia="en-US" w:bidi="ar-SA"/>
        </w:rPr>
        <w:t xml:space="preserve"> covariance matrices </w:t>
      </w:r>
      <w:r>
        <w:rPr>
          <w:rFonts w:eastAsia="Calibri" w:cs="DejaVu Sans" w:ascii="Arial" w:hAnsi="Arial"/>
          <w:color w:val="000000"/>
          <w:kern w:val="0"/>
          <w:sz w:val="20"/>
          <w:szCs w:val="20"/>
          <w:lang w:eastAsia="en-US" w:bidi="ar-SA"/>
        </w:rPr>
        <w:t>specific to each mash model</w:t>
      </w:r>
      <w:r>
        <w:rPr>
          <w:rFonts w:eastAsia="Calibri" w:cs="DejaVu Sans" w:ascii="Arial" w:hAnsi="Arial"/>
          <w:color w:val="000000"/>
          <w:kern w:val="0"/>
          <w:sz w:val="20"/>
          <w:szCs w:val="20"/>
          <w:lang w:eastAsia="en-US" w:bidi="ar-SA"/>
        </w:rPr>
        <w:t xml:space="preserve">; we thus explored patterns of SNP effects described by these matrices. We also characterized the overall patterns of differential sensitivity and antagonistic pleiotropy for SNP effects at all pairs of gardens. </w:t>
      </w:r>
    </w:p>
    <w:p>
      <w:pPr>
        <w:pStyle w:val="Normal"/>
        <w:rPr>
          <w:rFonts w:ascii="Arial" w:hAnsi="Arial" w:cs="Arial"/>
          <w:b/>
          <w:b/>
          <w:color w:val="000000"/>
          <w:sz w:val="20"/>
          <w:szCs w:val="20"/>
        </w:rPr>
      </w:pPr>
      <w:r>
        <w:rPr>
          <w:rFonts w:eastAsia="Calibri" w:cs="DejaVu Sans" w:ascii="Arial" w:hAnsi="Arial"/>
          <w:color w:val="000000"/>
          <w:kern w:val="0"/>
          <w:sz w:val="20"/>
          <w:szCs w:val="20"/>
          <w:lang w:eastAsia="en-US" w:bidi="ar-SA"/>
        </w:rPr>
        <w:tab/>
        <w:t xml:space="preserve">For green-up mash models, </w:t>
      </w:r>
      <w:r>
        <w:rPr>
          <w:rFonts w:eastAsia="Calibri" w:cs="DejaVu Sans" w:ascii="Arial" w:hAnsi="Arial"/>
          <w:color w:val="000000"/>
          <w:kern w:val="0"/>
          <w:sz w:val="20"/>
          <w:szCs w:val="20"/>
          <w:lang w:eastAsia="en-US" w:bidi="ar-SA"/>
        </w:rPr>
        <w:t>one of the two major data-derived effect patterns was a pattern of antagonistic pleiotropy between pairs of Texas and North gardens. T</w:t>
      </w:r>
      <w:r>
        <w:rPr>
          <w:rFonts w:eastAsia="Calibri" w:cs="DejaVu Sans" w:ascii="Arial" w:hAnsi="Arial"/>
          <w:color w:val="000000"/>
          <w:kern w:val="0"/>
          <w:sz w:val="20"/>
          <w:szCs w:val="20"/>
          <w:lang w:eastAsia="en-US" w:bidi="ar-SA"/>
        </w:rPr>
        <w:t xml:space="preserve">he largest fraction of SNP effects had high posterior weights on the DD_tPCA matrices; 61-91% of the variation in the DD_tPCA matrices was explained by two garden-based patterns of effects (Fig. </w:t>
      </w:r>
      <w:r>
        <w:rPr>
          <w:rFonts w:eastAsia="Calibri" w:cs="DejaVu Sans" w:ascii="Arial" w:hAnsi="Arial"/>
          <w:b/>
          <w:bCs/>
          <w:color w:val="000000"/>
          <w:kern w:val="0"/>
          <w:sz w:val="20"/>
          <w:szCs w:val="20"/>
          <w:lang w:eastAsia="en-US" w:bidi="ar-SA"/>
        </w:rPr>
        <w:t>3a-c</w:t>
      </w:r>
      <w:r>
        <w:rPr>
          <w:rFonts w:eastAsia="Calibri" w:cs="DejaVu Sans" w:ascii="Arial" w:hAnsi="Arial"/>
          <w:color w:val="000000"/>
          <w:kern w:val="0"/>
          <w:sz w:val="20"/>
          <w:szCs w:val="20"/>
          <w:lang w:eastAsia="en-US" w:bidi="ar-SA"/>
        </w:rPr>
        <w:t xml:space="preserve">), </w:t>
      </w:r>
      <w:r>
        <w:rPr>
          <w:rFonts w:eastAsia="Calibri" w:cs="DejaVu Sans" w:ascii="Arial" w:hAnsi="Arial"/>
          <w:color w:val="000000"/>
          <w:kern w:val="0"/>
          <w:sz w:val="20"/>
          <w:szCs w:val="20"/>
          <w:lang w:eastAsia="en-US" w:bidi="ar-SA"/>
        </w:rPr>
        <w:t xml:space="preserve">corresponding to the patterns of the first eigenvectors of DD_PCA_1 and DD_PCA_2, two additional data-driven matrices which also had non-zero mash posterior weights (Fig </w:t>
      </w:r>
      <w:r>
        <w:rPr>
          <w:rFonts w:eastAsia="Calibri" w:cs="DejaVu Sans" w:ascii="Arial" w:hAnsi="Arial"/>
          <w:b/>
          <w:bCs/>
          <w:color w:val="000000"/>
          <w:kern w:val="0"/>
          <w:sz w:val="20"/>
          <w:szCs w:val="20"/>
          <w:lang w:eastAsia="en-US" w:bidi="ar-SA"/>
        </w:rPr>
        <w:t>2b</w:t>
      </w:r>
      <w:r>
        <w:rPr>
          <w:rFonts w:eastAsia="Calibri" w:cs="DejaVu Sans" w:ascii="Arial" w:hAnsi="Arial"/>
          <w:color w:val="000000"/>
          <w:kern w:val="0"/>
          <w:sz w:val="20"/>
          <w:szCs w:val="20"/>
          <w:lang w:eastAsia="en-US" w:bidi="ar-SA"/>
        </w:rPr>
        <w:t xml:space="preserve">). For all three subgroups, one of these two effect patterns was characterized by large magnitude (&gt;|0.5|) effects delaying green-up in the Texas gardens and in Oklahoma, with small (&lt;|0.2|) to moderate (|0.2| to |0.5|) magnitude effects advancing green-up in MO and MI. </w:t>
      </w:r>
      <w:r>
        <w:rPr>
          <w:rFonts w:eastAsia="Calibri" w:cs="DejaVu Sans" w:ascii="Arial" w:hAnsi="Arial"/>
          <w:color w:val="000000"/>
          <w:kern w:val="0"/>
          <w:sz w:val="20"/>
          <w:szCs w:val="20"/>
          <w:lang w:eastAsia="en-US" w:bidi="ar-SA"/>
        </w:rPr>
        <w:t xml:space="preserve">Fewer SNPs exhibited antagonistic pleiotropy in the Midwest subpopulation than in the Gulf and Both subpopulations (Fig </w:t>
      </w:r>
      <w:r>
        <w:rPr>
          <w:rFonts w:eastAsia="Calibri" w:cs="DejaVu Sans" w:ascii="Arial" w:hAnsi="Arial"/>
          <w:b/>
          <w:bCs/>
          <w:color w:val="000000"/>
          <w:kern w:val="0"/>
          <w:sz w:val="20"/>
          <w:szCs w:val="20"/>
          <w:lang w:eastAsia="en-US" w:bidi="ar-SA"/>
        </w:rPr>
        <w:t>3d-f</w:t>
      </w:r>
      <w:r>
        <w:rPr>
          <w:rFonts w:eastAsia="Calibri" w:cs="DejaVu Sans" w:ascii="Arial" w:hAnsi="Arial"/>
          <w:color w:val="000000"/>
          <w:kern w:val="0"/>
          <w:sz w:val="20"/>
          <w:szCs w:val="20"/>
          <w:lang w:eastAsia="en-US" w:bidi="ar-SA"/>
        </w:rPr>
        <w:t xml:space="preserve">), where thousands of SNP effects exhibited antagonistic pleiotropy between pairs of southern and northern gardens. </w:t>
      </w:r>
    </w:p>
    <w:p>
      <w:pPr>
        <w:pStyle w:val="Normal"/>
        <w:rPr>
          <w:rFonts w:ascii="Arial" w:hAnsi="Arial" w:cs="Arial"/>
          <w:b/>
          <w:b/>
          <w:color w:val="000000"/>
          <w:sz w:val="20"/>
          <w:szCs w:val="20"/>
        </w:rPr>
      </w:pPr>
      <w:r>
        <w:rPr>
          <w:rFonts w:eastAsia="Calibri" w:cs="DejaVu Sans" w:ascii="Arial" w:hAnsi="Arial"/>
          <w:color w:val="000000"/>
          <w:kern w:val="0"/>
          <w:sz w:val="20"/>
          <w:szCs w:val="20"/>
          <w:lang w:eastAsia="en-US" w:bidi="ar-SA"/>
        </w:rPr>
        <w:tab/>
        <w:t xml:space="preserve">For flowering mash models, very little antagonistic pleiotropy was seen between pairs of gardens; instead, there was substantial differential sensitivity between southern and northern pairs of gardens (Fig. </w:t>
      </w:r>
      <w:r>
        <w:rPr>
          <w:rFonts w:eastAsia="Calibri" w:cs="DejaVu Sans" w:ascii="Arial" w:hAnsi="Arial"/>
          <w:b/>
          <w:bCs/>
          <w:color w:val="000000"/>
          <w:kern w:val="0"/>
          <w:sz w:val="20"/>
          <w:szCs w:val="20"/>
          <w:lang w:eastAsia="en-US" w:bidi="ar-SA"/>
        </w:rPr>
        <w:t>3j-l</w:t>
      </w:r>
      <w:r>
        <w:rPr>
          <w:rFonts w:eastAsia="Calibri" w:cs="DejaVu Sans" w:ascii="Arial" w:hAnsi="Arial"/>
          <w:color w:val="000000"/>
          <w:kern w:val="0"/>
          <w:sz w:val="20"/>
          <w:szCs w:val="20"/>
          <w:lang w:eastAsia="en-US" w:bidi="ar-SA"/>
        </w:rPr>
        <w:t xml:space="preserve">). For each model, similar fractions of SNP effects had high posterior weights on the DD_tPCA and DD_PCA_1 data-driven matrices, which captured fairly consistent patterns across subpopulations (Fig </w:t>
      </w:r>
      <w:r>
        <w:rPr>
          <w:rFonts w:eastAsia="Calibri" w:cs="DejaVu Sans" w:ascii="Arial" w:hAnsi="Arial"/>
          <w:b/>
          <w:bCs/>
          <w:color w:val="000000"/>
          <w:kern w:val="0"/>
          <w:sz w:val="20"/>
          <w:szCs w:val="20"/>
          <w:lang w:eastAsia="en-US" w:bidi="ar-SA"/>
        </w:rPr>
        <w:t>3g-i</w:t>
      </w:r>
      <w:r>
        <w:rPr>
          <w:rFonts w:eastAsia="Calibri" w:cs="DejaVu Sans" w:ascii="Arial" w:hAnsi="Arial"/>
          <w:color w:val="000000"/>
          <w:kern w:val="0"/>
          <w:sz w:val="20"/>
          <w:szCs w:val="20"/>
          <w:lang w:eastAsia="en-US" w:bidi="ar-SA"/>
        </w:rPr>
        <w:t xml:space="preserve">). This pattern was characterized by large magnitude effects of consistent sign that differed in their magnitude by garden (Fig </w:t>
      </w:r>
      <w:r>
        <w:rPr>
          <w:rFonts w:eastAsia="Calibri" w:cs="DejaVu Sans" w:ascii="Arial" w:hAnsi="Arial"/>
          <w:b/>
          <w:bCs/>
          <w:color w:val="000000"/>
          <w:kern w:val="0"/>
          <w:sz w:val="20"/>
          <w:szCs w:val="20"/>
          <w:lang w:eastAsia="en-US" w:bidi="ar-SA"/>
        </w:rPr>
        <w:t>3g-i</w:t>
      </w:r>
      <w:r>
        <w:rPr>
          <w:rFonts w:eastAsia="Calibri" w:cs="DejaVu Sans" w:ascii="Arial" w:hAnsi="Arial"/>
          <w:color w:val="000000"/>
          <w:kern w:val="0"/>
          <w:sz w:val="20"/>
          <w:szCs w:val="20"/>
          <w:lang w:eastAsia="en-US" w:bidi="ar-SA"/>
        </w:rPr>
        <w:t>). In other words, the major data-derived effect patterns for flowering showed differential sensitivity, but no antagonistic pleiotropy, between gardens.</w:t>
      </w:r>
    </w:p>
    <w:p>
      <w:pPr>
        <w:pStyle w:val="Normal"/>
        <w:rPr>
          <w:rFonts w:ascii="Arial" w:hAnsi="Arial" w:cs="Arial"/>
          <w:b/>
          <w:b/>
          <w:color w:val="000000"/>
          <w:sz w:val="20"/>
          <w:szCs w:val="20"/>
        </w:rPr>
      </w:pPr>
      <w:r>
        <w:rPr>
          <w:i/>
          <w:iCs/>
        </w:rPr>
        <w:t>Confirmation of genotype-by-environment effects using an outbred F2 cros</w:t>
      </w:r>
      <w:r>
        <w:rPr>
          <w:i/>
          <w:iCs/>
        </w:rPr>
        <w:t>s</w:t>
        <w:tab/>
      </w:r>
    </w:p>
    <w:p>
      <w:pPr>
        <w:pStyle w:val="Normal"/>
        <w:rPr>
          <w:rFonts w:ascii="Arial" w:hAnsi="Arial" w:cs="Arial"/>
          <w:b/>
          <w:b/>
          <w:color w:val="000000"/>
          <w:sz w:val="20"/>
          <w:szCs w:val="20"/>
        </w:rPr>
      </w:pPr>
      <w:r>
        <w:rPr>
          <w:i/>
          <w:iCs/>
        </w:rPr>
        <w:tab/>
      </w:r>
      <w:r>
        <w:rPr/>
        <w:t xml:space="preserve">We sought </w:t>
      </w:r>
      <w:r>
        <w:rPr/>
        <w:t>additional</w:t>
      </w:r>
      <w:r>
        <w:rPr/>
        <w:t xml:space="preserve"> experimental support for our mash intervals using an independent pseudo-F2 mapping population created from Gulf &amp; Midwest individuals grown at the same common gardens (Fig. </w:t>
      </w:r>
      <w:r>
        <w:rPr>
          <w:b/>
          <w:bCs/>
        </w:rPr>
        <w:t>4a,b</w:t>
      </w:r>
      <w:r>
        <w:rPr/>
        <w:t xml:space="preserve">). We conducted QTL mapping of flowering as functions of four environmental cues with high posterior weights in mash, and identified eight QTL for flowering date, six QTL for flowering GDD, ten QTL for flowering daylength, and eight QTL flowering daylength change, all of which showed QTL by environment interactions. All QTL for flowering overlapped one or more homologs from rice or </w:t>
      </w:r>
      <w:r>
        <w:rPr>
          <w:i/>
          <w:iCs/>
        </w:rPr>
        <w:t>A. thaliana</w:t>
      </w:r>
      <w:r>
        <w:rPr/>
        <w:t xml:space="preserve"> with functionally validated roles in flowering (Table </w:t>
      </w:r>
      <w:r>
        <w:rPr>
          <w:b/>
          <w:bCs/>
        </w:rPr>
        <w:t>S2</w:t>
      </w:r>
      <w:r>
        <w:rPr/>
        <w:t>). All flowering QTL intervals contained at least one SNP significant in at least one mash run at a log</w:t>
      </w:r>
      <w:r>
        <w:rPr>
          <w:vertAlign w:val="subscript"/>
        </w:rPr>
        <w:t>10</w:t>
      </w:r>
      <w:r>
        <w:rPr/>
        <w:t>-transformed Bayes Factor &gt; 2, or in the 1% tail of significance, whichever was stricter. We also looked for enrichments of mash SNPs in the 1% tail of significance (the ‘mash 1% tail’) within each QTL interval. At the 5% level, ten QTL had enrichments of SNPs</w:t>
      </w:r>
      <w:r>
        <w:rPr>
          <w:rFonts w:eastAsia="Calibri" w:cs="DejaVu Sans"/>
          <w:kern w:val="0"/>
          <w:lang w:eastAsia="en-US" w:bidi="ar-SA"/>
        </w:rPr>
        <w:t xml:space="preserve"> in the mash 1% tail. Overall, there were 16 significant enrichments (p &lt; 0.05, hypergeometric test) of SNPs in the mash 1% tail in the QTL intervals. We chose 1000 sets of 23 genomic regions of the same size randomly distributed throughout the genome, then calculated enrichments of the mash 1% tail in these random intervals. Our QTL intervals had more enrichments than were found for all but three of these sets of random genomic intervals (Fig. </w:t>
      </w:r>
      <w:r>
        <w:rPr>
          <w:rFonts w:eastAsia="Calibri" w:cs="DejaVu Sans"/>
          <w:b/>
          <w:bCs/>
          <w:kern w:val="0"/>
          <w:lang w:eastAsia="en-US" w:bidi="ar-SA"/>
        </w:rPr>
        <w:t>4c</w:t>
      </w:r>
      <w:r>
        <w:rPr>
          <w:rFonts w:eastAsia="Calibri" w:cs="DejaVu Sans"/>
          <w:kern w:val="0"/>
          <w:lang w:eastAsia="en-US" w:bidi="ar-SA"/>
        </w:rPr>
        <w:t>, p = 0.003). Thus, we were able to experimentally support our mash intervals from the diversity panel with a QTL mapping experiment using a separate mapping population.</w:t>
      </w:r>
    </w:p>
    <w:p>
      <w:pPr>
        <w:pStyle w:val="Normal"/>
        <w:pBdr/>
        <w:spacing w:before="0" w:after="200"/>
        <w:contextualSpacing/>
        <w:rPr>
          <w:rFonts w:ascii="Arial" w:hAnsi="Arial" w:cs="Arial"/>
          <w:color w:val="000000"/>
          <w:sz w:val="20"/>
          <w:szCs w:val="20"/>
        </w:rPr>
      </w:pPr>
      <w:r>
        <w:rPr>
          <w:rFonts w:cs="Arial" w:ascii="Arial" w:hAnsi="Arial"/>
          <w:b/>
          <w:color w:val="000000"/>
          <w:sz w:val="20"/>
          <w:szCs w:val="20"/>
        </w:rPr>
        <w:t xml:space="preserve">Discussion </w:t>
      </w:r>
    </w:p>
    <w:p>
      <w:pPr>
        <w:pStyle w:val="Normal"/>
        <w:pBdr/>
        <w:spacing w:before="0" w:after="200"/>
        <w:contextualSpacing/>
        <w:rPr>
          <w:rFonts w:ascii="Arial" w:hAnsi="Arial" w:cs="Arial"/>
          <w:color w:val="000000"/>
          <w:sz w:val="20"/>
          <w:szCs w:val="20"/>
        </w:rPr>
      </w:pPr>
      <w:r>
        <w:rPr>
          <w:rFonts w:eastAsia="Calibri" w:cs="Arial" w:ascii="Arial" w:hAnsi="Arial"/>
          <w:b/>
          <w:color w:val="000000"/>
          <w:kern w:val="0"/>
          <w:sz w:val="20"/>
          <w:szCs w:val="20"/>
          <w:lang w:eastAsia="en-US" w:bidi="ar-SA"/>
        </w:rPr>
        <w:tab/>
      </w:r>
      <w:r>
        <w:rPr>
          <w:rFonts w:eastAsia="Calibri" w:cs="DejaVu Sans" w:ascii="Arial" w:hAnsi="Arial"/>
          <w:color w:val="000000"/>
          <w:kern w:val="0"/>
          <w:sz w:val="20"/>
          <w:szCs w:val="20"/>
          <w:lang w:eastAsia="en-US" w:bidi="ar-SA"/>
        </w:rPr>
        <w:t xml:space="preserve">As the climate and the natural environment change, it is increasingly critical to </w:t>
      </w:r>
      <w:r>
        <w:rPr>
          <w:rFonts w:eastAsia="Calibri" w:cs="Times New Roman" w:ascii="Arial" w:hAnsi="Arial"/>
          <w:color w:val="000000"/>
          <w:kern w:val="0"/>
          <w:sz w:val="20"/>
          <w:szCs w:val="20"/>
          <w:lang w:eastAsia="en-US" w:bidi="ar-SA"/>
        </w:rPr>
        <w:t xml:space="preserve">understand how patterns of gene-environment and plant-environment interactions will change in response. To do this, we must understand the current patterns of trait covariation across environments, the genetic underpinnings of these patterns, and the cases where this covariation can be altered. Here, we demonstrate that </w:t>
      </w:r>
      <w:r>
        <w:rPr>
          <w:rFonts w:eastAsia="Calibri" w:cs="Times New Roman" w:ascii="Arial" w:hAnsi="Arial"/>
          <w:color w:val="000000"/>
          <w:kern w:val="0"/>
          <w:sz w:val="20"/>
          <w:szCs w:val="20"/>
          <w:lang w:eastAsia="en-US" w:bidi="ar-SA"/>
        </w:rPr>
        <w:t xml:space="preserve">we can </w:t>
      </w:r>
      <w:r>
        <w:rPr>
          <w:rFonts w:eastAsia="Calibri" w:cs="Times New Roman" w:ascii="Arial" w:hAnsi="Arial"/>
          <w:color w:val="000000"/>
          <w:kern w:val="0"/>
          <w:sz w:val="20"/>
          <w:szCs w:val="20"/>
          <w:lang w:eastAsia="en-US" w:bidi="ar-SA"/>
        </w:rPr>
        <w:t>associate</w:t>
      </w:r>
      <w:r>
        <w:rPr>
          <w:rFonts w:eastAsia="Calibri" w:cs="Times New Roman" w:ascii="Arial" w:hAnsi="Arial"/>
          <w:color w:val="000000"/>
          <w:kern w:val="0"/>
          <w:sz w:val="20"/>
          <w:szCs w:val="20"/>
          <w:lang w:eastAsia="en-US" w:bidi="ar-SA"/>
        </w:rPr>
        <w:t xml:space="preserve"> multiple </w:t>
      </w:r>
      <w:r>
        <w:rPr>
          <w:rFonts w:eastAsia="Calibri" w:cs="Times New Roman" w:ascii="Arial" w:hAnsi="Arial"/>
          <w:color w:val="000000"/>
          <w:kern w:val="0"/>
          <w:sz w:val="20"/>
          <w:szCs w:val="20"/>
          <w:lang w:eastAsia="en-US" w:bidi="ar-SA"/>
        </w:rPr>
        <w:t>patterns</w:t>
      </w:r>
      <w:r>
        <w:rPr>
          <w:rFonts w:eastAsia="Calibri" w:cs="Times New Roman" w:ascii="Arial" w:hAnsi="Arial"/>
          <w:color w:val="000000"/>
          <w:kern w:val="0"/>
          <w:sz w:val="20"/>
          <w:szCs w:val="20"/>
          <w:lang w:eastAsia="en-US" w:bidi="ar-SA"/>
        </w:rPr>
        <w:t xml:space="preserve"> of GxE</w:t>
      </w:r>
      <w:r>
        <w:rPr>
          <w:rFonts w:eastAsia="Calibri" w:cs="Times New Roman" w:ascii="Arial" w:hAnsi="Arial"/>
          <w:color w:val="000000"/>
          <w:kern w:val="0"/>
          <w:sz w:val="20"/>
          <w:szCs w:val="20"/>
          <w:lang w:eastAsia="en-US" w:bidi="ar-SA"/>
        </w:rPr>
        <w:t xml:space="preserve"> </w:t>
      </w:r>
      <w:r>
        <w:rPr>
          <w:rFonts w:eastAsia="Calibri" w:cs="Times New Roman" w:ascii="Arial" w:hAnsi="Arial"/>
          <w:color w:val="000000"/>
          <w:kern w:val="0"/>
          <w:sz w:val="20"/>
          <w:szCs w:val="20"/>
          <w:lang w:eastAsia="en-US" w:bidi="ar-SA"/>
        </w:rPr>
        <w:t>with</w:t>
      </w:r>
      <w:r>
        <w:rPr>
          <w:rFonts w:eastAsia="Calibri" w:cs="Times New Roman" w:ascii="Arial" w:hAnsi="Arial"/>
          <w:color w:val="000000"/>
          <w:kern w:val="0"/>
          <w:sz w:val="20"/>
          <w:szCs w:val="20"/>
          <w:lang w:eastAsia="en-US" w:bidi="ar-SA"/>
        </w:rPr>
        <w:t xml:space="preserve"> specific </w:t>
      </w:r>
      <w:r>
        <w:rPr>
          <w:rFonts w:eastAsia="Calibri" w:cs="Times New Roman" w:ascii="Arial" w:hAnsi="Arial"/>
          <w:color w:val="000000"/>
          <w:kern w:val="0"/>
          <w:sz w:val="20"/>
          <w:szCs w:val="20"/>
          <w:lang w:eastAsia="en-US" w:bidi="ar-SA"/>
        </w:rPr>
        <w:t xml:space="preserve">genomic regions </w:t>
      </w:r>
      <w:r>
        <w:rPr>
          <w:rFonts w:eastAsia="Calibri" w:cs="Times New Roman" w:ascii="Arial" w:hAnsi="Arial"/>
          <w:color w:val="000000"/>
          <w:kern w:val="0"/>
          <w:sz w:val="20"/>
          <w:szCs w:val="20"/>
          <w:lang w:eastAsia="en-US" w:bidi="ar-SA"/>
        </w:rPr>
        <w:t xml:space="preserve">using </w:t>
      </w:r>
      <w:r>
        <w:rPr>
          <w:rFonts w:eastAsia="Calibri" w:cs="Times New Roman" w:ascii="Arial" w:hAnsi="Arial"/>
          <w:color w:val="000000"/>
          <w:kern w:val="0"/>
          <w:sz w:val="20"/>
          <w:szCs w:val="20"/>
          <w:lang w:eastAsia="en-US" w:bidi="ar-SA"/>
        </w:rPr>
        <w:t xml:space="preserve">a </w:t>
      </w:r>
      <w:r>
        <w:rPr>
          <w:rFonts w:eastAsia="Calibri" w:cs="Times New Roman" w:ascii="Arial" w:hAnsi="Arial"/>
          <w:color w:val="000000"/>
          <w:kern w:val="0"/>
          <w:sz w:val="20"/>
          <w:szCs w:val="20"/>
          <w:lang w:eastAsia="en-US" w:bidi="ar-SA"/>
        </w:rPr>
        <w:t xml:space="preserve">switchgrass </w:t>
      </w:r>
      <w:r>
        <w:rPr>
          <w:rFonts w:eastAsia="Calibri" w:cs="Times New Roman" w:ascii="Arial" w:hAnsi="Arial"/>
          <w:color w:val="000000"/>
          <w:kern w:val="0"/>
          <w:sz w:val="20"/>
          <w:szCs w:val="20"/>
          <w:lang w:eastAsia="en-US" w:bidi="ar-SA"/>
        </w:rPr>
        <w:t xml:space="preserve">diversity panel </w:t>
      </w:r>
      <w:r>
        <w:rPr>
          <w:rFonts w:eastAsia="Calibri" w:cs="Times New Roman" w:ascii="Arial" w:hAnsi="Arial"/>
          <w:color w:val="000000"/>
          <w:kern w:val="0"/>
          <w:sz w:val="20"/>
          <w:szCs w:val="20"/>
          <w:lang w:eastAsia="en-US" w:bidi="ar-SA"/>
        </w:rPr>
        <w:t>grown at eight common gardens</w:t>
      </w:r>
      <w:r>
        <w:rPr>
          <w:rFonts w:eastAsia="Calibri" w:cs="Times New Roman" w:ascii="Arial" w:hAnsi="Arial"/>
          <w:color w:val="000000"/>
          <w:kern w:val="0"/>
          <w:sz w:val="20"/>
          <w:szCs w:val="20"/>
          <w:lang w:eastAsia="en-US" w:bidi="ar-SA"/>
        </w:rPr>
        <w:t xml:space="preserve">, </w:t>
      </w:r>
      <w:r>
        <w:rPr>
          <w:rFonts w:eastAsia="Calibri" w:cs="Times New Roman" w:ascii="Arial" w:hAnsi="Arial"/>
          <w:color w:val="000000"/>
          <w:kern w:val="0"/>
          <w:sz w:val="20"/>
          <w:szCs w:val="20"/>
          <w:lang w:eastAsia="en-US" w:bidi="ar-SA"/>
        </w:rPr>
        <w:t>and also that we can</w:t>
      </w:r>
      <w:r>
        <w:rPr>
          <w:rFonts w:eastAsia="Calibri" w:cs="Times New Roman" w:ascii="Arial" w:hAnsi="Arial"/>
          <w:color w:val="000000"/>
          <w:kern w:val="0"/>
          <w:sz w:val="20"/>
          <w:szCs w:val="20"/>
          <w:lang w:eastAsia="en-US" w:bidi="ar-SA"/>
        </w:rPr>
        <w:t xml:space="preserve"> </w:t>
      </w:r>
      <w:r>
        <w:rPr>
          <w:rFonts w:eastAsia="Calibri" w:cs="Times New Roman" w:ascii="Arial" w:hAnsi="Arial"/>
          <w:color w:val="000000"/>
          <w:kern w:val="0"/>
          <w:sz w:val="20"/>
          <w:szCs w:val="20"/>
          <w:lang w:eastAsia="en-US" w:bidi="ar-SA"/>
        </w:rPr>
        <w:t xml:space="preserve">assign specific SNP-associated patterns of GxE </w:t>
      </w:r>
      <w:r>
        <w:rPr>
          <w:rFonts w:eastAsia="Calibri" w:cs="Times New Roman" w:ascii="Arial" w:hAnsi="Arial"/>
          <w:color w:val="000000"/>
          <w:kern w:val="0"/>
          <w:sz w:val="20"/>
          <w:szCs w:val="20"/>
          <w:lang w:eastAsia="en-US" w:bidi="ar-SA"/>
        </w:rPr>
        <w:t xml:space="preserve">to </w:t>
      </w:r>
      <w:r>
        <w:rPr>
          <w:rFonts w:eastAsia="Calibri" w:cs="DejaVu Sans" w:ascii="Arial" w:hAnsi="Arial"/>
          <w:color w:val="000000"/>
          <w:kern w:val="0"/>
          <w:sz w:val="20"/>
          <w:szCs w:val="20"/>
          <w:lang w:eastAsia="en-US" w:bidi="ar-SA"/>
        </w:rPr>
        <w:t xml:space="preserve">both </w:t>
      </w:r>
      <w:r>
        <w:rPr>
          <w:rFonts w:eastAsia="Calibri" w:cs="DejaVu Sans" w:ascii="Arial" w:hAnsi="Arial"/>
          <w:color w:val="000000"/>
          <w:kern w:val="0"/>
          <w:sz w:val="20"/>
          <w:szCs w:val="20"/>
          <w:lang w:eastAsia="en-US" w:bidi="ar-SA"/>
        </w:rPr>
        <w:t>weather-based cues</w:t>
      </w:r>
      <w:r>
        <w:rPr>
          <w:rFonts w:eastAsia="Calibri" w:cs="DejaVu Sans" w:ascii="Arial" w:hAnsi="Arial"/>
          <w:color w:val="000000"/>
          <w:kern w:val="0"/>
          <w:sz w:val="20"/>
          <w:szCs w:val="20"/>
          <w:lang w:eastAsia="en-US" w:bidi="ar-SA"/>
        </w:rPr>
        <w:t xml:space="preserve"> and to other, data-</w:t>
      </w:r>
      <w:r>
        <w:rPr>
          <w:rFonts w:eastAsia="Calibri" w:cs="DejaVu Sans" w:ascii="Arial" w:hAnsi="Arial"/>
          <w:color w:val="000000"/>
          <w:kern w:val="0"/>
          <w:sz w:val="20"/>
          <w:szCs w:val="20"/>
          <w:lang w:eastAsia="en-US" w:bidi="ar-SA"/>
        </w:rPr>
        <w:t>derived</w:t>
      </w:r>
      <w:r>
        <w:rPr>
          <w:rFonts w:eastAsia="Calibri" w:cs="DejaVu Sans" w:ascii="Arial" w:hAnsi="Arial"/>
          <w:color w:val="000000"/>
          <w:kern w:val="0"/>
          <w:sz w:val="20"/>
          <w:szCs w:val="20"/>
          <w:lang w:eastAsia="en-US" w:bidi="ar-SA"/>
        </w:rPr>
        <w:t xml:space="preserve"> patterns. </w:t>
      </w:r>
      <w:r>
        <w:rPr>
          <w:rFonts w:eastAsia="Calibri" w:cs="DejaVu Sans" w:ascii="Arial" w:hAnsi="Arial"/>
          <w:color w:val="000000"/>
          <w:kern w:val="0"/>
          <w:sz w:val="20"/>
          <w:szCs w:val="20"/>
          <w:lang w:eastAsia="en-US" w:bidi="ar-SA"/>
        </w:rPr>
        <w:t xml:space="preserve">We use this approach to study GxE in both green-up and flowering phenological data in the </w:t>
      </w:r>
      <w:r>
        <w:rPr>
          <w:rFonts w:eastAsia="Calibri" w:cs="DejaVu Sans" w:ascii="Arial" w:hAnsi="Arial"/>
          <w:color w:val="000000"/>
          <w:kern w:val="0"/>
          <w:sz w:val="20"/>
          <w:szCs w:val="20"/>
          <w:lang w:eastAsia="en-US" w:bidi="ar-SA"/>
        </w:rPr>
        <w:t>deeply genetically diverged Gulf and Midwest subpopulations of switchgrass</w:t>
      </w:r>
      <w:r>
        <w:rPr>
          <w:rFonts w:eastAsia="Calibri" w:cs="DejaVu Sans" w:ascii="Arial" w:hAnsi="Arial"/>
          <w:color w:val="000000"/>
          <w:kern w:val="0"/>
          <w:sz w:val="20"/>
          <w:szCs w:val="20"/>
          <w:lang w:eastAsia="en-US" w:bidi="ar-SA"/>
        </w:rPr>
        <w:t xml:space="preserve">. </w:t>
      </w:r>
    </w:p>
    <w:p>
      <w:pPr>
        <w:pStyle w:val="Normal"/>
        <w:rPr>
          <w:rFonts w:ascii="Arial" w:hAnsi="Arial" w:cs="Arial"/>
          <w:color w:val="000000"/>
          <w:sz w:val="20"/>
          <w:szCs w:val="20"/>
        </w:rPr>
      </w:pPr>
      <w:r>
        <w:rPr>
          <w:rFonts w:eastAsia="Calibri" w:cs="DejaVu Sans" w:ascii="Arial" w:hAnsi="Arial"/>
          <w:color w:val="000000"/>
          <w:kern w:val="0"/>
          <w:sz w:val="20"/>
          <w:szCs w:val="20"/>
          <w:lang w:eastAsia="en-US" w:bidi="ar-SA"/>
        </w:rPr>
        <w:tab/>
        <w:t xml:space="preserve">Our </w:t>
      </w:r>
      <w:r>
        <w:rPr>
          <w:rFonts w:eastAsia="Calibri" w:cs="DejaVu Sans" w:ascii="Arial" w:hAnsi="Arial"/>
          <w:color w:val="000000"/>
          <w:kern w:val="0"/>
          <w:sz w:val="20"/>
          <w:szCs w:val="20"/>
          <w:lang w:eastAsia="en-US" w:bidi="ar-SA"/>
        </w:rPr>
        <w:t xml:space="preserve">analysis of green-up in the Gulf and in Both subpopulations revealed substantial antagonistic pleiotropy in effects between the Texas and North </w:t>
      </w:r>
      <w:r>
        <w:rPr>
          <w:rFonts w:eastAsia="Calibri" w:cs="DejaVu Sans" w:ascii="Arial" w:hAnsi="Arial"/>
          <w:color w:val="000000"/>
          <w:kern w:val="0"/>
          <w:sz w:val="20"/>
          <w:szCs w:val="20"/>
          <w:lang w:eastAsia="en-US" w:bidi="ar-SA"/>
        </w:rPr>
        <w:t xml:space="preserve">common </w:t>
      </w:r>
      <w:r>
        <w:rPr>
          <w:rFonts w:eastAsia="Calibri" w:cs="DejaVu Sans" w:ascii="Arial" w:hAnsi="Arial"/>
          <w:color w:val="000000"/>
          <w:kern w:val="0"/>
          <w:sz w:val="20"/>
          <w:szCs w:val="20"/>
          <w:lang w:eastAsia="en-US" w:bidi="ar-SA"/>
        </w:rPr>
        <w:t xml:space="preserve">gardens (Figure </w:t>
      </w:r>
      <w:r>
        <w:rPr>
          <w:rFonts w:eastAsia="Calibri" w:cs="DejaVu Sans" w:ascii="Arial" w:hAnsi="Arial"/>
          <w:b/>
          <w:bCs/>
          <w:color w:val="000000"/>
          <w:kern w:val="0"/>
          <w:sz w:val="20"/>
          <w:szCs w:val="20"/>
          <w:lang w:eastAsia="en-US" w:bidi="ar-SA"/>
        </w:rPr>
        <w:t>3a</w:t>
      </w:r>
      <w:r>
        <w:rPr>
          <w:rFonts w:eastAsia="Calibri" w:cs="DejaVu Sans" w:ascii="Arial" w:hAnsi="Arial"/>
          <w:color w:val="000000"/>
          <w:kern w:val="0"/>
          <w:sz w:val="20"/>
          <w:szCs w:val="20"/>
          <w:lang w:eastAsia="en-US" w:bidi="ar-SA"/>
        </w:rPr>
        <w:t>). Th</w:t>
      </w:r>
      <w:r>
        <w:rPr>
          <w:rFonts w:eastAsia="Calibri" w:cs="DejaVu Sans" w:ascii="Arial" w:hAnsi="Arial"/>
          <w:color w:val="000000"/>
          <w:kern w:val="0"/>
          <w:sz w:val="20"/>
          <w:szCs w:val="20"/>
          <w:lang w:eastAsia="en-US" w:bidi="ar-SA"/>
        </w:rPr>
        <w:t xml:space="preserve">is result </w:t>
      </w:r>
      <w:r>
        <w:rPr>
          <w:rFonts w:eastAsia="Calibri" w:cs="DejaVu Sans" w:ascii="Arial" w:hAnsi="Arial"/>
          <w:color w:val="000000"/>
          <w:kern w:val="0"/>
          <w:sz w:val="20"/>
          <w:szCs w:val="20"/>
          <w:lang w:eastAsia="en-US" w:bidi="ar-SA"/>
        </w:rPr>
        <w:t>support</w:t>
      </w:r>
      <w:r>
        <w:rPr>
          <w:rFonts w:eastAsia="Calibri" w:cs="DejaVu Sans" w:ascii="Arial" w:hAnsi="Arial"/>
          <w:color w:val="000000"/>
          <w:kern w:val="0"/>
          <w:sz w:val="20"/>
          <w:szCs w:val="20"/>
          <w:lang w:eastAsia="en-US" w:bidi="ar-SA"/>
        </w:rPr>
        <w:t>s</w:t>
      </w:r>
      <w:r>
        <w:rPr>
          <w:rFonts w:eastAsia="Calibri" w:cs="DejaVu Sans" w:ascii="Arial" w:hAnsi="Arial"/>
          <w:color w:val="000000"/>
          <w:kern w:val="0"/>
          <w:sz w:val="20"/>
          <w:szCs w:val="20"/>
          <w:lang w:eastAsia="en-US" w:bidi="ar-SA"/>
        </w:rPr>
        <w:t xml:space="preserve"> theoretical models that local adaptation should involve antagonistic pleiotropy at the level of individual loci </w:t>
      </w:r>
      <w:r>
        <w:rPr>
          <w:rFonts w:eastAsia="Calibri" w:cs="DejaVu Sans" w:ascii="Arial" w:hAnsi="Arial"/>
          <w:b w:val="false"/>
          <w:i w:val="false"/>
          <w:caps w:val="false"/>
          <w:smallCaps w:val="false"/>
          <w:color w:val="000000"/>
          <w:kern w:val="0"/>
          <w:position w:val="0"/>
          <w:sz w:val="20"/>
          <w:sz w:val="20"/>
          <w:szCs w:val="20"/>
          <w:u w:val="none"/>
          <w:vertAlign w:val="baseline"/>
          <w:lang w:eastAsia="en-US" w:bidi="ar-SA"/>
        </w:rPr>
        <w:t>(21</w:t>
      </w:r>
      <w:r>
        <w:rPr>
          <w:b w:val="false"/>
          <w:i w:val="false"/>
          <w:caps w:val="false"/>
          <w:smallCaps w:val="false"/>
          <w:position w:val="0"/>
          <w:sz w:val="22"/>
          <w:u w:val="none"/>
          <w:vertAlign w:val="baseline"/>
        </w:rPr>
        <w:t>–24)</w:t>
      </w:r>
      <w:r>
        <w:rPr>
          <w:rFonts w:eastAsia="Calibri" w:cs="DejaVu Sans" w:ascii="Arial" w:hAnsi="Arial"/>
          <w:color w:val="000000"/>
          <w:kern w:val="0"/>
          <w:sz w:val="20"/>
          <w:szCs w:val="20"/>
          <w:lang w:eastAsia="en-US" w:bidi="ar-SA"/>
        </w:rPr>
        <w:t xml:space="preserve"> (Levene 1953; Felsenstein 1976; Kawecki and Ebert 2004; Hedrick 1986), and </w:t>
      </w:r>
      <w:r>
        <w:rPr>
          <w:rFonts w:eastAsia="Calibri" w:cs="DejaVu Sans" w:ascii="Arial" w:hAnsi="Arial"/>
          <w:color w:val="000000"/>
          <w:kern w:val="0"/>
          <w:sz w:val="20"/>
          <w:szCs w:val="20"/>
          <w:lang w:eastAsia="en-US" w:bidi="ar-SA"/>
        </w:rPr>
        <w:t>is</w:t>
      </w:r>
      <w:r>
        <w:rPr>
          <w:rFonts w:eastAsia="Calibri" w:cs="DejaVu Sans" w:ascii="Arial" w:hAnsi="Arial"/>
          <w:color w:val="000000"/>
          <w:kern w:val="0"/>
          <w:sz w:val="20"/>
          <w:szCs w:val="20"/>
          <w:lang w:eastAsia="en-US" w:bidi="ar-SA"/>
        </w:rPr>
        <w:t xml:space="preserve"> the first experimental work </w:t>
      </w:r>
      <w:r>
        <w:rPr>
          <w:rFonts w:eastAsia="Calibri" w:cs="DejaVu Sans" w:ascii="Arial" w:hAnsi="Arial"/>
          <w:color w:val="000000"/>
          <w:kern w:val="0"/>
          <w:sz w:val="20"/>
          <w:szCs w:val="20"/>
          <w:lang w:eastAsia="en-US" w:bidi="ar-SA"/>
        </w:rPr>
        <w:t>using</w:t>
      </w:r>
      <w:r>
        <w:rPr>
          <w:rFonts w:eastAsia="Calibri" w:cs="DejaVu Sans" w:ascii="Arial" w:hAnsi="Arial"/>
          <w:color w:val="000000"/>
          <w:kern w:val="0"/>
          <w:sz w:val="20"/>
          <w:szCs w:val="20"/>
          <w:lang w:eastAsia="en-US" w:bidi="ar-SA"/>
        </w:rPr>
        <w:t xml:space="preserve"> QTL mapping and GWAS across common gardens to find antagonistic pleiotropy to be common in small genomic regions </w:t>
      </w:r>
      <w:r>
        <w:rPr>
          <w:rFonts w:eastAsia="Calibri" w:cs="DejaVu Sans" w:ascii="Arial" w:hAnsi="Arial"/>
          <w:color w:val="000000"/>
          <w:kern w:val="0"/>
          <w:sz w:val="20"/>
          <w:szCs w:val="20"/>
          <w:lang w:eastAsia="en-US" w:bidi="ar-SA"/>
        </w:rPr>
        <w:t>(11, 34, 35)</w:t>
      </w:r>
      <w:r>
        <w:rPr>
          <w:rFonts w:eastAsia="Calibri" w:cs="DejaVu Sans" w:ascii="Arial" w:hAnsi="Arial"/>
          <w:color w:val="000000"/>
          <w:kern w:val="0"/>
          <w:sz w:val="20"/>
          <w:szCs w:val="20"/>
          <w:lang w:eastAsia="en-US" w:bidi="ar-SA"/>
        </w:rPr>
        <w:t>.</w:t>
      </w:r>
    </w:p>
    <w:p>
      <w:pPr>
        <w:pStyle w:val="Normal"/>
        <w:pBdr/>
        <w:spacing w:before="0" w:after="200"/>
        <w:contextualSpacing/>
        <w:rPr>
          <w:rFonts w:ascii="Arial" w:hAnsi="Arial" w:cs="Arial"/>
          <w:color w:val="000000"/>
          <w:sz w:val="20"/>
          <w:szCs w:val="20"/>
        </w:rPr>
      </w:pPr>
      <w:r>
        <w:rPr>
          <w:rFonts w:eastAsia="Calibri" w:cs="DejaVu Sans" w:ascii="Arial" w:hAnsi="Arial"/>
          <w:color w:val="000000"/>
          <w:kern w:val="0"/>
          <w:sz w:val="20"/>
          <w:szCs w:val="20"/>
          <w:lang w:eastAsia="en-US" w:bidi="ar-SA"/>
        </w:rPr>
        <w:tab/>
      </w:r>
      <w:r>
        <w:rPr>
          <w:rFonts w:eastAsia="Calibri" w:cs="DejaVu Sans" w:ascii="Arial" w:hAnsi="Arial"/>
          <w:color w:val="000000"/>
          <w:kern w:val="0"/>
          <w:sz w:val="20"/>
          <w:szCs w:val="20"/>
          <w:lang w:eastAsia="en-US" w:bidi="ar-SA"/>
        </w:rPr>
        <w:t xml:space="preserve">Our analysis of flowering showed that the Gulf and Midwest subpopulations are segregating for multiple distinct photoperiod-related flowering responses: the Midwest subpopulation is day neutral, and flowering is cued primarily by a cumulative GDD threshold; in contrast, the Gulf subpopulation is photoperiod sensitive, and flowering is cued by the transition to shortening days. </w:t>
      </w:r>
      <w:r>
        <w:rPr>
          <w:rFonts w:eastAsia="Calibri" w:cs="DejaVu Sans" w:ascii="Arial" w:hAnsi="Arial"/>
          <w:color w:val="000000"/>
          <w:kern w:val="0"/>
          <w:sz w:val="20"/>
          <w:szCs w:val="20"/>
          <w:lang w:eastAsia="en-US" w:bidi="ar-SA"/>
        </w:rPr>
        <w:t>Th</w:t>
      </w:r>
      <w:r>
        <w:rPr>
          <w:rFonts w:eastAsia="Calibri" w:cs="DejaVu Sans" w:ascii="Arial" w:hAnsi="Arial"/>
          <w:color w:val="000000"/>
          <w:kern w:val="0"/>
          <w:sz w:val="20"/>
          <w:szCs w:val="20"/>
          <w:lang w:eastAsia="en-US" w:bidi="ar-SA"/>
        </w:rPr>
        <w:t>is</w:t>
      </w:r>
      <w:r>
        <w:rPr>
          <w:rFonts w:eastAsia="Calibri" w:cs="DejaVu Sans" w:ascii="Arial" w:hAnsi="Arial"/>
          <w:color w:val="000000"/>
          <w:kern w:val="0"/>
          <w:sz w:val="20"/>
          <w:szCs w:val="20"/>
          <w:lang w:eastAsia="en-US" w:bidi="ar-SA"/>
        </w:rPr>
        <w:t xml:space="preserve"> result </w:t>
      </w:r>
      <w:r>
        <w:rPr>
          <w:rFonts w:eastAsia="Calibri" w:cs="DejaVu Sans" w:ascii="Arial" w:hAnsi="Arial"/>
          <w:color w:val="000000"/>
          <w:kern w:val="0"/>
          <w:sz w:val="20"/>
          <w:szCs w:val="20"/>
          <w:lang w:eastAsia="en-US" w:bidi="ar-SA"/>
        </w:rPr>
        <w:t>was</w:t>
      </w:r>
      <w:r>
        <w:rPr>
          <w:rFonts w:eastAsia="Calibri" w:cs="DejaVu Sans" w:ascii="Arial" w:hAnsi="Arial"/>
          <w:color w:val="000000"/>
          <w:kern w:val="0"/>
          <w:sz w:val="20"/>
          <w:szCs w:val="20"/>
          <w:lang w:eastAsia="en-US" w:bidi="ar-SA"/>
        </w:rPr>
        <w:t xml:space="preserve"> supported by observation</w:t>
      </w:r>
      <w:r>
        <w:rPr>
          <w:rFonts w:eastAsia="Calibri" w:cs="DejaVu Sans" w:ascii="Arial" w:hAnsi="Arial"/>
          <w:color w:val="000000"/>
          <w:kern w:val="0"/>
          <w:sz w:val="20"/>
          <w:szCs w:val="20"/>
          <w:lang w:eastAsia="en-US" w:bidi="ar-SA"/>
        </w:rPr>
        <w:t>s</w:t>
      </w:r>
      <w:r>
        <w:rPr>
          <w:rFonts w:eastAsia="Calibri" w:cs="DejaVu Sans" w:ascii="Arial" w:hAnsi="Arial"/>
          <w:color w:val="000000"/>
          <w:kern w:val="0"/>
          <w:sz w:val="20"/>
          <w:szCs w:val="20"/>
          <w:lang w:eastAsia="en-US" w:bidi="ar-SA"/>
        </w:rPr>
        <w:t xml:space="preserve"> that expressing flowering date as a function of the daylength at flowering increased </w:t>
      </w:r>
      <w:r>
        <w:rPr>
          <w:rFonts w:eastAsia="Calibri" w:cs="DejaVu Sans" w:ascii="Arial" w:hAnsi="Arial"/>
          <w:color w:val="000000"/>
          <w:kern w:val="0"/>
          <w:sz w:val="20"/>
          <w:szCs w:val="20"/>
          <w:lang w:eastAsia="en-US" w:bidi="ar-SA"/>
        </w:rPr>
        <w:t>its</w:t>
      </w:r>
      <w:r>
        <w:rPr>
          <w:rFonts w:eastAsia="Calibri" w:cs="DejaVu Sans" w:ascii="Arial" w:hAnsi="Arial"/>
          <w:color w:val="000000"/>
          <w:kern w:val="0"/>
          <w:sz w:val="20"/>
          <w:szCs w:val="20"/>
          <w:lang w:eastAsia="en-US" w:bidi="ar-SA"/>
        </w:rPr>
        <w:t xml:space="preserve"> heritability in the Gulf subpopulation, while expressing flowering date as a function of cumulative GDD between green-up and flowering increased </w:t>
      </w:r>
      <w:r>
        <w:rPr>
          <w:rFonts w:eastAsia="Calibri" w:cs="DejaVu Sans" w:ascii="Arial" w:hAnsi="Arial"/>
          <w:color w:val="000000"/>
          <w:kern w:val="0"/>
          <w:sz w:val="20"/>
          <w:szCs w:val="20"/>
          <w:lang w:eastAsia="en-US" w:bidi="ar-SA"/>
        </w:rPr>
        <w:t>the</w:t>
      </w:r>
      <w:r>
        <w:rPr>
          <w:rFonts w:eastAsia="Calibri" w:cs="DejaVu Sans" w:ascii="Arial" w:hAnsi="Arial"/>
          <w:color w:val="000000"/>
          <w:kern w:val="0"/>
          <w:sz w:val="20"/>
          <w:szCs w:val="20"/>
          <w:lang w:eastAsia="en-US" w:bidi="ar-SA"/>
        </w:rPr>
        <w:t xml:space="preserve"> heritability </w:t>
      </w:r>
      <w:r>
        <w:rPr>
          <w:rFonts w:eastAsia="Calibri" w:cs="DejaVu Sans" w:ascii="Arial" w:hAnsi="Arial"/>
          <w:color w:val="000000"/>
          <w:kern w:val="0"/>
          <w:sz w:val="20"/>
          <w:szCs w:val="20"/>
          <w:lang w:eastAsia="en-US" w:bidi="ar-SA"/>
        </w:rPr>
        <w:t xml:space="preserve">of flowering </w:t>
      </w:r>
      <w:r>
        <w:rPr>
          <w:rFonts w:eastAsia="Calibri" w:cs="DejaVu Sans" w:ascii="Arial" w:hAnsi="Arial"/>
          <w:color w:val="000000"/>
          <w:kern w:val="0"/>
          <w:sz w:val="20"/>
          <w:szCs w:val="20"/>
          <w:lang w:eastAsia="en-US" w:bidi="ar-SA"/>
        </w:rPr>
        <w:t xml:space="preserve">in the Midwest subpopulation (Fig. </w:t>
      </w:r>
      <w:r>
        <w:rPr>
          <w:rFonts w:eastAsia="Calibri" w:cs="DejaVu Sans" w:ascii="Arial" w:hAnsi="Arial"/>
          <w:b/>
          <w:bCs/>
          <w:color w:val="000000"/>
          <w:kern w:val="0"/>
          <w:sz w:val="20"/>
          <w:szCs w:val="20"/>
          <w:lang w:eastAsia="en-US" w:bidi="ar-SA"/>
        </w:rPr>
        <w:t>1d</w:t>
      </w:r>
      <w:r>
        <w:rPr>
          <w:rFonts w:eastAsia="Calibri" w:cs="DejaVu Sans" w:ascii="Arial" w:hAnsi="Arial"/>
          <w:color w:val="000000"/>
          <w:kern w:val="0"/>
          <w:sz w:val="20"/>
          <w:szCs w:val="20"/>
          <w:lang w:eastAsia="en-US" w:bidi="ar-SA"/>
        </w:rPr>
        <w:t xml:space="preserve">). The </w:t>
      </w:r>
      <w:r>
        <w:rPr>
          <w:rFonts w:eastAsia="Calibri" w:cs="DejaVu Sans" w:ascii="Arial" w:hAnsi="Arial"/>
          <w:color w:val="000000"/>
          <w:kern w:val="0"/>
          <w:sz w:val="20"/>
          <w:szCs w:val="20"/>
          <w:lang w:eastAsia="en-US" w:bidi="ar-SA"/>
        </w:rPr>
        <w:t>genomic intervals affecting flowering found in mash were</w:t>
      </w:r>
      <w:r>
        <w:rPr>
          <w:rFonts w:eastAsia="Calibri" w:cs="DejaVu Sans" w:ascii="Arial" w:hAnsi="Arial"/>
          <w:color w:val="000000"/>
          <w:kern w:val="0"/>
          <w:sz w:val="20"/>
          <w:szCs w:val="20"/>
          <w:lang w:eastAsia="en-US" w:bidi="ar-SA"/>
        </w:rPr>
        <w:t xml:space="preserve"> also supported by a QTL mapping experiment using a separate mapping population (Fig. </w:t>
      </w:r>
      <w:r>
        <w:rPr>
          <w:rFonts w:eastAsia="Calibri" w:cs="DejaVu Sans" w:ascii="Arial" w:hAnsi="Arial"/>
          <w:b/>
          <w:bCs/>
          <w:color w:val="000000"/>
          <w:kern w:val="0"/>
          <w:sz w:val="20"/>
          <w:szCs w:val="20"/>
          <w:lang w:eastAsia="en-US" w:bidi="ar-SA"/>
        </w:rPr>
        <w:t>4c</w:t>
      </w:r>
      <w:r>
        <w:rPr>
          <w:rFonts w:eastAsia="Calibri" w:cs="DejaVu Sans" w:ascii="Arial" w:hAnsi="Arial"/>
          <w:color w:val="000000"/>
          <w:kern w:val="0"/>
          <w:sz w:val="20"/>
          <w:szCs w:val="20"/>
          <w:lang w:eastAsia="en-US" w:bidi="ar-SA"/>
        </w:rPr>
        <w:t>).</w:t>
      </w:r>
    </w:p>
    <w:p>
      <w:pPr>
        <w:pStyle w:val="Normal"/>
        <w:pBdr/>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pBdr/>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pBdr/>
        <w:spacing w:before="0" w:after="0"/>
        <w:contextualSpacing/>
        <w:rPr>
          <w:rFonts w:ascii="Arial" w:hAnsi="Arial" w:cs="Arial"/>
          <w:color w:val="000000"/>
          <w:sz w:val="20"/>
          <w:szCs w:val="20"/>
        </w:rPr>
      </w:pPr>
      <w:r>
        <w:rPr>
          <w:rFonts w:cs="Arial" w:ascii="Arial" w:hAnsi="Arial"/>
          <w:b/>
          <w:color w:val="000000"/>
          <w:sz w:val="20"/>
          <w:szCs w:val="20"/>
        </w:rPr>
        <w:t>Materials and Methods</w:t>
      </w:r>
    </w:p>
    <w:p>
      <w:pPr>
        <w:pStyle w:val="Normal"/>
        <w:pBdr/>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Paste your materials and methods section here.</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b/>
          <w:b/>
          <w:color w:val="000000"/>
          <w:sz w:val="20"/>
          <w:szCs w:val="20"/>
        </w:rPr>
      </w:pPr>
      <w:r>
        <w:rPr>
          <w:rFonts w:cs="Arial" w:ascii="Arial" w:hAnsi="Arial"/>
          <w:b/>
          <w:color w:val="000000"/>
          <w:sz w:val="20"/>
          <w:szCs w:val="20"/>
        </w:rPr>
        <w:t>Acknowledgments</w:t>
      </w:r>
    </w:p>
    <w:p>
      <w:pPr>
        <w:pStyle w:val="Normal"/>
        <w:pBdr/>
        <w:spacing w:before="0" w:after="200"/>
        <w:contextualSpacing/>
        <w:rPr>
          <w:rFonts w:ascii="Arial" w:hAnsi="Arial" w:cs="Arial"/>
          <w:b/>
          <w:b/>
          <w:color w:val="000000"/>
          <w:sz w:val="20"/>
          <w:szCs w:val="20"/>
        </w:rPr>
      </w:pPr>
      <w:r>
        <w:rPr/>
      </w:r>
    </w:p>
    <w:p>
      <w:pPr>
        <w:pStyle w:val="Normal"/>
        <w:pBdr/>
        <w:spacing w:lineRule="auto" w:line="360" w:before="0" w:after="200"/>
        <w:contextualSpacing/>
        <w:rPr>
          <w:rFonts w:ascii="Arial" w:hAnsi="Arial" w:cs="Arial"/>
          <w:color w:val="000000"/>
          <w:sz w:val="20"/>
          <w:szCs w:val="20"/>
        </w:rPr>
      </w:pPr>
      <w:r>
        <w:rPr>
          <w:rFonts w:cs="Arial" w:ascii="Arial" w:hAnsi="Arial"/>
          <w:color w:val="000000"/>
          <w:sz w:val="20"/>
          <w:szCs w:val="20"/>
        </w:rPr>
        <w:t>We thank the Brackenridge Field laboratory, the Ladybird Johnson Wildflower Center, and the Juenger laboratory for support with plant care and propagation. This research was supported by the US Department of Energy Awards DESC0014156 to T.E.J., DE-SC0017883 to D.B.L. This material is based upon work supported in part by the Great Lakes Bioenergy Research Center, U.S. Department of Energy, Office of Science, Office of Biological and Environmental Research under Award Numbers DE-SC0018409 and DE-FC02-07ER64494. Funding was provided by National Science Foundation PGRP Awards IOS0922457 and IOS1444533 to T.E.J, as well as through the Long-term Ecological Research Program (DEB 1832042) at the Kellogg Biological Station.</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b/>
          <w:color w:val="000000"/>
          <w:sz w:val="20"/>
          <w:szCs w:val="20"/>
        </w:rPr>
        <w:t>References</w:t>
      </w:r>
    </w:p>
    <w:p>
      <w:pPr>
        <w:pStyle w:val="Normal"/>
        <w:pBdr/>
        <w:spacing w:before="0" w:after="200"/>
        <w:contextualSpacing/>
        <w:rPr>
          <w:rFonts w:ascii="Arial" w:hAnsi="Arial" w:cs="Arial"/>
          <w:color w:val="000000"/>
          <w:sz w:val="20"/>
          <w:szCs w:val="20"/>
        </w:rPr>
      </w:pPr>
      <w:r>
        <w:rPr/>
      </w:r>
    </w:p>
    <w:p>
      <w:pPr>
        <w:sectPr>
          <w:headerReference w:type="default" r:id="rId6"/>
          <w:footerReference w:type="default" r:id="rId7"/>
          <w:type w:val="nextPage"/>
          <w:pgSz w:w="12240" w:h="15840"/>
          <w:pgMar w:left="1800" w:right="1800" w:header="720" w:top="1440" w:footer="720" w:bottom="1440" w:gutter="0"/>
          <w:pgNumType w:start="1" w:fmt="decimal"/>
          <w:formProt w:val="false"/>
          <w:textDirection w:val="lrTb"/>
          <w:docGrid w:type="default" w:linePitch="100" w:charSpace="4096"/>
        </w:sectPr>
      </w:pPr>
    </w:p>
    <w:p>
      <w:pPr>
        <w:pStyle w:val="Bibliography1"/>
        <w:rPr>
          <w:rFonts w:ascii="Arial" w:hAnsi="Arial" w:cs="Arial"/>
          <w:color w:val="000000"/>
          <w:sz w:val="20"/>
          <w:szCs w:val="20"/>
        </w:rPr>
      </w:pPr>
      <w:r>
        <w:rPr/>
        <w:t xml:space="preserve">1. </w:t>
        <w:tab/>
        <w:t xml:space="preserve">W. L. Bauerle, </w:t>
      </w:r>
      <w:r>
        <w:rPr>
          <w:i/>
        </w:rPr>
        <w:t>et al.</w:t>
      </w:r>
      <w:r>
        <w:rPr/>
        <w:t xml:space="preserve">, Photoperiodic regulation of the seasonal pattern of photosynthetic capacity and the implications for carbon cycling. </w:t>
      </w:r>
      <w:r>
        <w:rPr>
          <w:i/>
        </w:rPr>
        <w:t>Proc Natl Acad Sci USA</w:t>
      </w:r>
      <w:r>
        <w:rPr/>
        <w:t xml:space="preserve"> </w:t>
      </w:r>
      <w:r>
        <w:rPr>
          <w:b/>
        </w:rPr>
        <w:t>109</w:t>
      </w:r>
      <w:r>
        <w:rPr/>
        <w:t>, 8612 (2012).</w:t>
      </w:r>
    </w:p>
    <w:p>
      <w:pPr>
        <w:pStyle w:val="Bibliography1"/>
        <w:rPr>
          <w:rFonts w:ascii="Arial" w:hAnsi="Arial" w:cs="Arial"/>
          <w:color w:val="000000"/>
          <w:sz w:val="20"/>
          <w:szCs w:val="20"/>
        </w:rPr>
      </w:pPr>
      <w:r>
        <w:rPr/>
        <w:t xml:space="preserve">2. </w:t>
        <w:tab/>
        <w:t xml:space="preserve">C. Körner, D. Basler, Phenology Under Global Warming. </w:t>
      </w:r>
      <w:r>
        <w:rPr>
          <w:i/>
        </w:rPr>
        <w:t>Science</w:t>
      </w:r>
      <w:r>
        <w:rPr/>
        <w:t xml:space="preserve"> </w:t>
      </w:r>
      <w:r>
        <w:rPr>
          <w:b/>
        </w:rPr>
        <w:t>327</w:t>
      </w:r>
      <w:r>
        <w:rPr/>
        <w:t>, 1461 (2010).</w:t>
      </w:r>
    </w:p>
    <w:p>
      <w:pPr>
        <w:pStyle w:val="Bibliography1"/>
        <w:rPr>
          <w:rFonts w:ascii="Arial" w:hAnsi="Arial" w:cs="Arial"/>
          <w:color w:val="000000"/>
          <w:sz w:val="20"/>
          <w:szCs w:val="20"/>
        </w:rPr>
      </w:pPr>
      <w:r>
        <w:rPr/>
        <w:t xml:space="preserve">3. </w:t>
        <w:tab/>
        <w:t xml:space="preserve">F. Andrés, G. Coupland, The genetic basis of flowering responses to seasonal cues. </w:t>
      </w:r>
      <w:r>
        <w:rPr>
          <w:i/>
        </w:rPr>
        <w:t>Nature Reviews Genetics</w:t>
      </w:r>
      <w:r>
        <w:rPr/>
        <w:t xml:space="preserve"> </w:t>
      </w:r>
      <w:r>
        <w:rPr>
          <w:b/>
        </w:rPr>
        <w:t>13</w:t>
      </w:r>
      <w:r>
        <w:rPr/>
        <w:t>, 627–639 (2012).</w:t>
      </w:r>
    </w:p>
    <w:p>
      <w:pPr>
        <w:pStyle w:val="Bibliography1"/>
        <w:rPr>
          <w:rFonts w:ascii="Arial" w:hAnsi="Arial" w:cs="Arial"/>
          <w:color w:val="000000"/>
          <w:sz w:val="20"/>
          <w:szCs w:val="20"/>
        </w:rPr>
      </w:pPr>
      <w:r>
        <w:rPr/>
        <w:t xml:space="preserve">4. </w:t>
        <w:tab/>
        <w:t xml:space="preserve">B. K. Blackman, Interacting duplications, fluctuating selection, and convergence: the complex dynamics of flowering time evolution during sunflower domestication. </w:t>
      </w:r>
      <w:r>
        <w:rPr>
          <w:i/>
        </w:rPr>
        <w:t>Journal of Experimental Botany</w:t>
      </w:r>
      <w:r>
        <w:rPr/>
        <w:t xml:space="preserve"> </w:t>
      </w:r>
      <w:r>
        <w:rPr>
          <w:b/>
        </w:rPr>
        <w:t>64</w:t>
      </w:r>
      <w:r>
        <w:rPr/>
        <w:t>, 421–431 (2013).</w:t>
      </w:r>
    </w:p>
    <w:p>
      <w:pPr>
        <w:pStyle w:val="Bibliography1"/>
        <w:rPr>
          <w:rFonts w:ascii="Arial" w:hAnsi="Arial" w:cs="Arial"/>
          <w:color w:val="000000"/>
          <w:sz w:val="20"/>
          <w:szCs w:val="20"/>
        </w:rPr>
      </w:pPr>
      <w:r>
        <w:rPr/>
        <w:t xml:space="preserve">5. </w:t>
        <w:tab/>
        <w:t xml:space="preserve">L. P. Henry, R. H. B. Watson, B. K. Blackman, Transitions in photoperiodic flowering are common and involve few loci in wild sunflowers (Helianthus; Asteraceae). </w:t>
      </w:r>
      <w:r>
        <w:rPr>
          <w:i/>
        </w:rPr>
        <w:t>American Journal of Botany</w:t>
      </w:r>
      <w:r>
        <w:rPr/>
        <w:t xml:space="preserve"> </w:t>
      </w:r>
      <w:r>
        <w:rPr>
          <w:b/>
        </w:rPr>
        <w:t>101</w:t>
      </w:r>
      <w:r>
        <w:rPr/>
        <w:t>, 1748–1758 (2014).</w:t>
      </w:r>
    </w:p>
    <w:p>
      <w:pPr>
        <w:pStyle w:val="Bibliography1"/>
        <w:rPr>
          <w:rFonts w:ascii="Arial" w:hAnsi="Arial" w:cs="Arial"/>
          <w:color w:val="000000"/>
          <w:sz w:val="20"/>
          <w:szCs w:val="20"/>
        </w:rPr>
      </w:pPr>
      <w:r>
        <w:rPr/>
        <w:t xml:space="preserve">6. </w:t>
        <w:tab/>
        <w:t xml:space="preserve">J. Ågren, C. G. Oakley, S. Lundemo, D. W. Schemske, Adaptive divergence in flowering time among natural populations of Arabidopsis thaliana: Estimates of selection and QTL mapping. </w:t>
      </w:r>
      <w:r>
        <w:rPr>
          <w:i/>
        </w:rPr>
        <w:t>Evolution</w:t>
      </w:r>
      <w:r>
        <w:rPr/>
        <w:t xml:space="preserve"> </w:t>
      </w:r>
      <w:r>
        <w:rPr>
          <w:b/>
        </w:rPr>
        <w:t>71</w:t>
      </w:r>
      <w:r>
        <w:rPr/>
        <w:t>, 550–564 (2017).</w:t>
      </w:r>
    </w:p>
    <w:p>
      <w:pPr>
        <w:pStyle w:val="Bibliography1"/>
        <w:rPr>
          <w:rFonts w:ascii="Arial" w:hAnsi="Arial" w:cs="Arial"/>
          <w:color w:val="000000"/>
          <w:sz w:val="20"/>
          <w:szCs w:val="20"/>
        </w:rPr>
      </w:pPr>
      <w:r>
        <w:rPr/>
        <w:t xml:space="preserve">7. </w:t>
        <w:tab/>
        <w:t xml:space="preserve">B. Brachi, </w:t>
      </w:r>
      <w:r>
        <w:rPr>
          <w:i/>
        </w:rPr>
        <w:t>et al.</w:t>
      </w:r>
      <w:r>
        <w:rPr/>
        <w:t xml:space="preserve">, Linkage and Association Mapping of Arabidopsis thaliana Flowering Time in Nature. </w:t>
      </w:r>
      <w:r>
        <w:rPr>
          <w:i/>
        </w:rPr>
        <w:t>PLoS Genet</w:t>
      </w:r>
      <w:r>
        <w:rPr/>
        <w:t xml:space="preserve"> </w:t>
      </w:r>
      <w:r>
        <w:rPr>
          <w:b/>
        </w:rPr>
        <w:t>6</w:t>
      </w:r>
      <w:r>
        <w:rPr/>
        <w:t>, e1000940 (2010).</w:t>
      </w:r>
    </w:p>
    <w:p>
      <w:pPr>
        <w:pStyle w:val="Bibliography1"/>
        <w:rPr>
          <w:rFonts w:ascii="Arial" w:hAnsi="Arial" w:cs="Arial"/>
          <w:color w:val="000000"/>
          <w:sz w:val="20"/>
          <w:szCs w:val="20"/>
        </w:rPr>
      </w:pPr>
      <w:r>
        <w:rPr/>
        <w:t xml:space="preserve">8. </w:t>
        <w:tab/>
        <w:t xml:space="preserve">E. L. Dittmar, C. G. Oakley, J. Ågren, D. W. Schemske, Flowering time QTL in natural populations of Arabidopsis thaliana and implications for their adaptive value. </w:t>
      </w:r>
      <w:r>
        <w:rPr>
          <w:i/>
        </w:rPr>
        <w:t>Molecular Ecology</w:t>
      </w:r>
      <w:r>
        <w:rPr/>
        <w:t xml:space="preserve"> </w:t>
      </w:r>
      <w:r>
        <w:rPr>
          <w:b/>
        </w:rPr>
        <w:t>23</w:t>
      </w:r>
      <w:r>
        <w:rPr/>
        <w:t>, 4291–4303 (2014).</w:t>
      </w:r>
    </w:p>
    <w:p>
      <w:pPr>
        <w:pStyle w:val="Bibliography1"/>
        <w:rPr>
          <w:rFonts w:ascii="Arial" w:hAnsi="Arial" w:cs="Arial"/>
          <w:color w:val="000000"/>
          <w:sz w:val="20"/>
          <w:szCs w:val="20"/>
        </w:rPr>
      </w:pPr>
      <w:r>
        <w:rPr/>
        <w:t xml:space="preserve">9. </w:t>
        <w:tab/>
        <w:t xml:space="preserve">X. Li, T. Guo, Q. Mu, X. Li, J. Yu, Genomic and environmental determinants and their interplay underlying phenotypic plasticity. </w:t>
      </w:r>
      <w:r>
        <w:rPr>
          <w:i/>
        </w:rPr>
        <w:t>Proc Natl Acad Sci USA</w:t>
      </w:r>
      <w:r>
        <w:rPr/>
        <w:t xml:space="preserve"> </w:t>
      </w:r>
      <w:r>
        <w:rPr>
          <w:b/>
        </w:rPr>
        <w:t>115</w:t>
      </w:r>
      <w:r>
        <w:rPr/>
        <w:t>, 6679–6684 (2018).</w:t>
      </w:r>
    </w:p>
    <w:p>
      <w:pPr>
        <w:pStyle w:val="Bibliography1"/>
        <w:rPr>
          <w:rFonts w:ascii="Arial" w:hAnsi="Arial" w:cs="Arial"/>
          <w:color w:val="000000"/>
          <w:sz w:val="20"/>
          <w:szCs w:val="20"/>
        </w:rPr>
      </w:pPr>
      <w:r>
        <w:rPr/>
        <w:t xml:space="preserve">10. </w:t>
        <w:tab/>
        <w:t xml:space="preserve">J. A. Romero Navarro, </w:t>
      </w:r>
      <w:r>
        <w:rPr>
          <w:i/>
        </w:rPr>
        <w:t>et al.</w:t>
      </w:r>
      <w:r>
        <w:rPr/>
        <w:t xml:space="preserve">, A study of allelic diversity underlying flowering-time adaptation in maize landraces. </w:t>
      </w:r>
      <w:r>
        <w:rPr>
          <w:i/>
        </w:rPr>
        <w:t>Nature Genetics</w:t>
      </w:r>
      <w:r>
        <w:rPr/>
        <w:t xml:space="preserve"> </w:t>
      </w:r>
      <w:r>
        <w:rPr>
          <w:b/>
        </w:rPr>
        <w:t>49</w:t>
      </w:r>
      <w:r>
        <w:rPr/>
        <w:t>, 476–480 (2017).</w:t>
      </w:r>
    </w:p>
    <w:p>
      <w:pPr>
        <w:pStyle w:val="Bibliography1"/>
        <w:rPr>
          <w:rFonts w:ascii="Arial" w:hAnsi="Arial" w:cs="Arial"/>
          <w:color w:val="000000"/>
          <w:sz w:val="20"/>
          <w:szCs w:val="20"/>
        </w:rPr>
      </w:pPr>
      <w:r>
        <w:rPr/>
        <w:t xml:space="preserve">11. </w:t>
        <w:tab/>
        <w:t xml:space="preserve">S. M. Wadgymar, </w:t>
      </w:r>
      <w:r>
        <w:rPr>
          <w:i/>
        </w:rPr>
        <w:t>et al.</w:t>
      </w:r>
      <w:r>
        <w:rPr/>
        <w:t xml:space="preserve">, Identifying targets and agents of selection: innovative methods to evaluate the processes that contribute to local adaptation. </w:t>
      </w:r>
      <w:r>
        <w:rPr>
          <w:i/>
        </w:rPr>
        <w:t>Methods in Ecology and Evolution</w:t>
      </w:r>
      <w:r>
        <w:rPr/>
        <w:t xml:space="preserve"> </w:t>
      </w:r>
      <w:r>
        <w:rPr>
          <w:b/>
        </w:rPr>
        <w:t>8</w:t>
      </w:r>
      <w:r>
        <w:rPr/>
        <w:t>, 738–749 (2017).</w:t>
      </w:r>
    </w:p>
    <w:p>
      <w:pPr>
        <w:pStyle w:val="Bibliography1"/>
        <w:rPr>
          <w:rFonts w:ascii="Arial" w:hAnsi="Arial" w:cs="Arial"/>
          <w:color w:val="000000"/>
          <w:sz w:val="20"/>
          <w:szCs w:val="20"/>
        </w:rPr>
      </w:pPr>
      <w:r>
        <w:rPr/>
        <w:t xml:space="preserve">12. </w:t>
        <w:tab/>
        <w:t xml:space="preserve">M. Blümel, N. Dally, C. Jung, Flowering time regulation in crops—what did we learn from Arabidopsis? </w:t>
      </w:r>
      <w:r>
        <w:rPr>
          <w:i/>
        </w:rPr>
        <w:t>Current Opinion in Biotechnology</w:t>
      </w:r>
      <w:r>
        <w:rPr/>
        <w:t xml:space="preserve"> </w:t>
      </w:r>
      <w:r>
        <w:rPr>
          <w:b/>
        </w:rPr>
        <w:t>32</w:t>
      </w:r>
      <w:r>
        <w:rPr/>
        <w:t>, 121–129 (2015).</w:t>
      </w:r>
    </w:p>
    <w:p>
      <w:pPr>
        <w:pStyle w:val="Bibliography1"/>
        <w:rPr>
          <w:rFonts w:ascii="Arial" w:hAnsi="Arial" w:cs="Arial"/>
          <w:color w:val="000000"/>
          <w:sz w:val="20"/>
          <w:szCs w:val="20"/>
        </w:rPr>
      </w:pPr>
      <w:r>
        <w:rPr/>
        <w:t xml:space="preserve">13. </w:t>
        <w:tab/>
        <w:t xml:space="preserve">C. Jung, A. E. Müller, Flowering time control and applications in plant breeding. </w:t>
      </w:r>
      <w:r>
        <w:rPr>
          <w:i/>
        </w:rPr>
        <w:t>Trends in Plant Science</w:t>
      </w:r>
      <w:r>
        <w:rPr/>
        <w:t xml:space="preserve"> </w:t>
      </w:r>
      <w:r>
        <w:rPr>
          <w:b/>
        </w:rPr>
        <w:t>14</w:t>
      </w:r>
      <w:r>
        <w:rPr/>
        <w:t>, 563–573 (2009).</w:t>
      </w:r>
    </w:p>
    <w:p>
      <w:pPr>
        <w:pStyle w:val="Bibliography1"/>
        <w:rPr>
          <w:rFonts w:ascii="Arial" w:hAnsi="Arial" w:cs="Arial"/>
          <w:color w:val="000000"/>
          <w:sz w:val="20"/>
          <w:szCs w:val="20"/>
        </w:rPr>
      </w:pPr>
      <w:r>
        <w:rPr/>
        <w:t xml:space="preserve">14. </w:t>
        <w:tab/>
        <w:t xml:space="preserve">A. Turner, J. Beales, S. Faure, R. P. Dunford, D. A. Laurie, The Pseudo-Response Regulator Ppd-H1 Provides Adaptation to Photoperiod in Barley. </w:t>
      </w:r>
      <w:r>
        <w:rPr>
          <w:i/>
        </w:rPr>
        <w:t>Science</w:t>
      </w:r>
      <w:r>
        <w:rPr/>
        <w:t xml:space="preserve"> </w:t>
      </w:r>
      <w:r>
        <w:rPr>
          <w:b/>
        </w:rPr>
        <w:t>310</w:t>
      </w:r>
      <w:r>
        <w:rPr/>
        <w:t>, 1031–1034 (2005).</w:t>
      </w:r>
    </w:p>
    <w:p>
      <w:pPr>
        <w:pStyle w:val="Bibliography1"/>
        <w:rPr>
          <w:rFonts w:ascii="Arial" w:hAnsi="Arial" w:cs="Arial"/>
          <w:color w:val="000000"/>
          <w:sz w:val="20"/>
          <w:szCs w:val="20"/>
        </w:rPr>
      </w:pPr>
      <w:r>
        <w:rPr/>
        <w:t xml:space="preserve">15. </w:t>
        <w:tab/>
        <w:t xml:space="preserve">S. Faure, </w:t>
      </w:r>
      <w:r>
        <w:rPr>
          <w:i/>
        </w:rPr>
        <w:t>et al.</w:t>
      </w:r>
      <w:r>
        <w:rPr/>
        <w:t xml:space="preserve">, Mutation at the circadian clock gene EARLY MATURITY 8 adapts domesticated barley (Hordeum vulgare) to short growing seasons. </w:t>
      </w:r>
      <w:r>
        <w:rPr>
          <w:i/>
        </w:rPr>
        <w:t>PNAS</w:t>
      </w:r>
      <w:r>
        <w:rPr/>
        <w:t xml:space="preserve"> </w:t>
      </w:r>
      <w:r>
        <w:rPr>
          <w:b/>
        </w:rPr>
        <w:t>109</w:t>
      </w:r>
      <w:r>
        <w:rPr/>
        <w:t>, 8328–8333 (2012).</w:t>
      </w:r>
    </w:p>
    <w:p>
      <w:pPr>
        <w:pStyle w:val="Bibliography1"/>
        <w:rPr>
          <w:rFonts w:ascii="Arial" w:hAnsi="Arial" w:cs="Arial"/>
          <w:color w:val="000000"/>
          <w:sz w:val="20"/>
          <w:szCs w:val="20"/>
        </w:rPr>
      </w:pPr>
      <w:r>
        <w:rPr/>
        <w:t xml:space="preserve">16. </w:t>
        <w:tab/>
        <w:t xml:space="preserve">H.-Y. Hung, </w:t>
      </w:r>
      <w:r>
        <w:rPr>
          <w:i/>
        </w:rPr>
        <w:t>et al.</w:t>
      </w:r>
      <w:r>
        <w:rPr/>
        <w:t xml:space="preserve">, ZmCCT and the genetic basis of day-length adaptation underlying the postdomestication spread of maize. </w:t>
      </w:r>
      <w:r>
        <w:rPr>
          <w:i/>
        </w:rPr>
        <w:t>PNAS</w:t>
      </w:r>
      <w:r>
        <w:rPr/>
        <w:t xml:space="preserve"> </w:t>
      </w:r>
      <w:r>
        <w:rPr>
          <w:b/>
        </w:rPr>
        <w:t>109</w:t>
      </w:r>
      <w:r>
        <w:rPr/>
        <w:t>, E1913–E1921 (2012).</w:t>
      </w:r>
    </w:p>
    <w:p>
      <w:pPr>
        <w:pStyle w:val="Bibliography1"/>
        <w:rPr>
          <w:rFonts w:ascii="Arial" w:hAnsi="Arial" w:cs="Arial"/>
          <w:color w:val="000000"/>
          <w:sz w:val="20"/>
          <w:szCs w:val="20"/>
        </w:rPr>
      </w:pPr>
      <w:r>
        <w:rPr/>
        <w:t xml:space="preserve">17. </w:t>
        <w:tab/>
        <w:t xml:space="preserve">S. Zakhrabekova, </w:t>
      </w:r>
      <w:r>
        <w:rPr>
          <w:i/>
        </w:rPr>
        <w:t>et al.</w:t>
      </w:r>
      <w:r>
        <w:rPr/>
        <w:t xml:space="preserve">, Induced mutations in circadian clock regulator Mat-a facilitated short-season adaptation and range extension in cultivated barley. </w:t>
      </w:r>
      <w:r>
        <w:rPr>
          <w:i/>
        </w:rPr>
        <w:t>PNAS</w:t>
      </w:r>
      <w:r>
        <w:rPr/>
        <w:t xml:space="preserve"> </w:t>
      </w:r>
      <w:r>
        <w:rPr>
          <w:b/>
        </w:rPr>
        <w:t>109</w:t>
      </w:r>
      <w:r>
        <w:rPr/>
        <w:t>, 4326–4331 (2012).</w:t>
      </w:r>
    </w:p>
    <w:p>
      <w:pPr>
        <w:pStyle w:val="Bibliography1"/>
        <w:rPr>
          <w:rFonts w:ascii="Arial" w:hAnsi="Arial" w:cs="Arial"/>
          <w:color w:val="000000"/>
          <w:sz w:val="20"/>
          <w:szCs w:val="20"/>
        </w:rPr>
      </w:pPr>
      <w:r>
        <w:rPr/>
        <w:t xml:space="preserve">18. </w:t>
        <w:tab/>
        <w:t xml:space="preserve">Y. Yang, Q. Peng, G.-X. Chen, X.-H. Li, C.-Y. Wu, OsELF3 Is Involved in Circadian Clock Regulation for Promoting Flowering under Long-Day Conditions in Rice. </w:t>
      </w:r>
      <w:r>
        <w:rPr>
          <w:i/>
        </w:rPr>
        <w:t>Molecular Plant</w:t>
      </w:r>
      <w:r>
        <w:rPr/>
        <w:t xml:space="preserve"> </w:t>
      </w:r>
      <w:r>
        <w:rPr>
          <w:b/>
        </w:rPr>
        <w:t>6</w:t>
      </w:r>
      <w:r>
        <w:rPr/>
        <w:t>, 202–215 (2013).</w:t>
      </w:r>
    </w:p>
    <w:p>
      <w:pPr>
        <w:pStyle w:val="Bibliography1"/>
        <w:rPr>
          <w:rFonts w:ascii="Arial" w:hAnsi="Arial" w:cs="Arial"/>
          <w:color w:val="000000"/>
          <w:sz w:val="20"/>
          <w:szCs w:val="20"/>
        </w:rPr>
      </w:pPr>
      <w:r>
        <w:rPr/>
        <w:t xml:space="preserve">19. </w:t>
        <w:tab/>
        <w:t xml:space="preserve">P. A. Pin, O. Nilsson, The multifaceted roles of FLOWERING LOCUS T in plant development. </w:t>
      </w:r>
      <w:r>
        <w:rPr>
          <w:i/>
        </w:rPr>
        <w:t>Plant, Cell &amp; Environment</w:t>
      </w:r>
      <w:r>
        <w:rPr/>
        <w:t xml:space="preserve"> </w:t>
      </w:r>
      <w:r>
        <w:rPr>
          <w:b/>
        </w:rPr>
        <w:t>35</w:t>
      </w:r>
      <w:r>
        <w:rPr/>
        <w:t>, 1742–1755 (2012).</w:t>
      </w:r>
    </w:p>
    <w:p>
      <w:pPr>
        <w:pStyle w:val="Bibliography1"/>
        <w:rPr>
          <w:rFonts w:ascii="Arial" w:hAnsi="Arial" w:cs="Arial"/>
          <w:color w:val="000000"/>
          <w:sz w:val="20"/>
          <w:szCs w:val="20"/>
        </w:rPr>
      </w:pPr>
      <w:r>
        <w:rPr/>
        <w:t xml:space="preserve">20. </w:t>
        <w:tab/>
        <w:t xml:space="preserve">J. L. Weller, </w:t>
      </w:r>
      <w:r>
        <w:rPr>
          <w:i/>
        </w:rPr>
        <w:t>et al.</w:t>
      </w:r>
      <w:r>
        <w:rPr/>
        <w:t xml:space="preserve">, Parallel origins of photoperiod adaptation following dual domestications of common bean. </w:t>
      </w:r>
      <w:r>
        <w:rPr>
          <w:i/>
        </w:rPr>
        <w:t>Journal of Experimental Botany</w:t>
      </w:r>
      <w:r>
        <w:rPr/>
        <w:t xml:space="preserve"> </w:t>
      </w:r>
      <w:r>
        <w:rPr>
          <w:b/>
        </w:rPr>
        <w:t>70</w:t>
      </w:r>
      <w:r>
        <w:rPr/>
        <w:t>, 1209–1219 (2019).</w:t>
      </w:r>
    </w:p>
    <w:p>
      <w:pPr>
        <w:pStyle w:val="Bibliography1"/>
        <w:rPr>
          <w:rFonts w:ascii="Arial" w:hAnsi="Arial" w:cs="Arial"/>
          <w:color w:val="000000"/>
          <w:sz w:val="20"/>
          <w:szCs w:val="20"/>
        </w:rPr>
      </w:pPr>
      <w:r>
        <w:rPr/>
        <w:t xml:space="preserve">21. </w:t>
        <w:tab/>
        <w:t xml:space="preserve">H. Levene, Genetic Equilibrium When More Than One Ecological Niche is Available. </w:t>
      </w:r>
      <w:r>
        <w:rPr>
          <w:i/>
        </w:rPr>
        <w:t>The American Naturalist</w:t>
      </w:r>
      <w:r>
        <w:rPr/>
        <w:t xml:space="preserve"> </w:t>
      </w:r>
      <w:r>
        <w:rPr>
          <w:b/>
        </w:rPr>
        <w:t>87</w:t>
      </w:r>
      <w:r>
        <w:rPr/>
        <w:t>, 331–333 (1953).</w:t>
      </w:r>
    </w:p>
    <w:p>
      <w:pPr>
        <w:pStyle w:val="Bibliography1"/>
        <w:rPr>
          <w:rFonts w:ascii="Arial" w:hAnsi="Arial" w:cs="Arial"/>
          <w:color w:val="000000"/>
          <w:sz w:val="20"/>
          <w:szCs w:val="20"/>
        </w:rPr>
      </w:pPr>
      <w:r>
        <w:rPr/>
        <w:t xml:space="preserve">22. </w:t>
        <w:tab/>
        <w:t xml:space="preserve">J. Felsenstein, The Theoretical Population Genetics of Variable Selection and Migration. </w:t>
      </w:r>
      <w:r>
        <w:rPr>
          <w:i/>
        </w:rPr>
        <w:t>Annual Review of Genetics</w:t>
      </w:r>
      <w:r>
        <w:rPr/>
        <w:t xml:space="preserve"> </w:t>
      </w:r>
      <w:r>
        <w:rPr>
          <w:b/>
        </w:rPr>
        <w:t>10</w:t>
      </w:r>
      <w:r>
        <w:rPr/>
        <w:t>, 253–280 (1976).</w:t>
      </w:r>
    </w:p>
    <w:p>
      <w:pPr>
        <w:pStyle w:val="Bibliography1"/>
        <w:rPr>
          <w:rFonts w:ascii="Arial" w:hAnsi="Arial" w:cs="Arial"/>
          <w:color w:val="000000"/>
          <w:sz w:val="20"/>
          <w:szCs w:val="20"/>
        </w:rPr>
      </w:pPr>
      <w:r>
        <w:rPr/>
        <w:t xml:space="preserve">23. </w:t>
        <w:tab/>
        <w:t xml:space="preserve">T. J. Kawecki, D. Ebert, Conceptual issues in local adaptation. </w:t>
      </w:r>
      <w:r>
        <w:rPr>
          <w:i/>
        </w:rPr>
        <w:t>Ecology Letters</w:t>
      </w:r>
      <w:r>
        <w:rPr/>
        <w:t xml:space="preserve"> </w:t>
      </w:r>
      <w:r>
        <w:rPr>
          <w:b/>
        </w:rPr>
        <w:t>7</w:t>
      </w:r>
      <w:r>
        <w:rPr/>
        <w:t>, 1225–1241 (2004).</w:t>
      </w:r>
    </w:p>
    <w:p>
      <w:pPr>
        <w:pStyle w:val="Bibliography1"/>
        <w:rPr>
          <w:rFonts w:ascii="Arial" w:hAnsi="Arial" w:cs="Arial"/>
          <w:color w:val="000000"/>
          <w:sz w:val="20"/>
          <w:szCs w:val="20"/>
        </w:rPr>
      </w:pPr>
      <w:r>
        <w:rPr/>
        <w:t xml:space="preserve">24. </w:t>
        <w:tab/>
        <w:t xml:space="preserve">P. W. Hedrick, Genetic Polymorphism in Heterogeneous Environments: A Decade Later. </w:t>
      </w:r>
      <w:r>
        <w:rPr>
          <w:i/>
        </w:rPr>
        <w:t>Annual Review of Ecology and Systematics</w:t>
      </w:r>
      <w:r>
        <w:rPr/>
        <w:t xml:space="preserve"> </w:t>
      </w:r>
      <w:r>
        <w:rPr>
          <w:b/>
        </w:rPr>
        <w:t>17</w:t>
      </w:r>
      <w:r>
        <w:rPr/>
        <w:t>, 535–566 (1986).</w:t>
      </w:r>
    </w:p>
    <w:p>
      <w:pPr>
        <w:pStyle w:val="Bibliography1"/>
        <w:rPr>
          <w:rFonts w:ascii="Arial" w:hAnsi="Arial" w:cs="Arial"/>
          <w:color w:val="000000"/>
          <w:sz w:val="20"/>
          <w:szCs w:val="20"/>
        </w:rPr>
      </w:pPr>
      <w:r>
        <w:rPr/>
        <w:t xml:space="preserve">25. </w:t>
        <w:tab/>
        <w:t xml:space="preserve">D. L. Des Marais, K. M. Hernandez, T. E. Juenger, Genotype-by-Environment Interaction and Plasticity: Exploring Genomic Responses of Plants to the Abiotic Environment. </w:t>
      </w:r>
      <w:r>
        <w:rPr>
          <w:i/>
        </w:rPr>
        <w:t>Annual Review of Ecology, Evolution, and Systematics</w:t>
      </w:r>
      <w:r>
        <w:rPr/>
        <w:t xml:space="preserve"> </w:t>
      </w:r>
      <w:r>
        <w:rPr>
          <w:b/>
        </w:rPr>
        <w:t>44</w:t>
      </w:r>
      <w:r>
        <w:rPr/>
        <w:t>, 5–29 (2013).</w:t>
      </w:r>
    </w:p>
    <w:p>
      <w:pPr>
        <w:pStyle w:val="Bibliography1"/>
        <w:rPr>
          <w:rFonts w:ascii="Arial" w:hAnsi="Arial" w:cs="Arial"/>
          <w:color w:val="000000"/>
          <w:sz w:val="20"/>
          <w:szCs w:val="20"/>
        </w:rPr>
      </w:pPr>
      <w:r>
        <w:rPr/>
        <w:t xml:space="preserve">26. </w:t>
        <w:tab/>
        <w:t xml:space="preserve">J. T. Anderson, J. H. Willis, T. Mitchell-Olds, Evolutionary genetics of plant adaptation. </w:t>
      </w:r>
      <w:r>
        <w:rPr>
          <w:i/>
        </w:rPr>
        <w:t>Trends Genet</w:t>
      </w:r>
      <w:r>
        <w:rPr/>
        <w:t xml:space="preserve"> </w:t>
      </w:r>
      <w:r>
        <w:rPr>
          <w:b/>
        </w:rPr>
        <w:t>27</w:t>
      </w:r>
      <w:r>
        <w:rPr/>
        <w:t>, 258–266 (2011).</w:t>
      </w:r>
    </w:p>
    <w:p>
      <w:pPr>
        <w:pStyle w:val="Bibliography1"/>
        <w:rPr>
          <w:rFonts w:ascii="Arial" w:hAnsi="Arial" w:cs="Arial"/>
          <w:color w:val="000000"/>
          <w:sz w:val="20"/>
          <w:szCs w:val="20"/>
        </w:rPr>
      </w:pPr>
      <w:r>
        <w:rPr/>
        <w:t xml:space="preserve">27. </w:t>
        <w:tab/>
        <w:t xml:space="preserve">J. T. Anderson, C.-R. Lee, C. Rushworth, R. Colautti, T. Mitchell-Olds, Genetic tradeoffs and conditional neutrality contribute to local adaptation. </w:t>
      </w:r>
      <w:r>
        <w:rPr>
          <w:i/>
        </w:rPr>
        <w:t>Mol Ecol</w:t>
      </w:r>
      <w:r>
        <w:rPr/>
        <w:t xml:space="preserve"> </w:t>
      </w:r>
      <w:r>
        <w:rPr>
          <w:b/>
        </w:rPr>
        <w:t>22</w:t>
      </w:r>
      <w:r>
        <w:rPr/>
        <w:t>, 699–708 (2013).</w:t>
      </w:r>
    </w:p>
    <w:p>
      <w:pPr>
        <w:pStyle w:val="Bibliography1"/>
        <w:rPr>
          <w:rFonts w:ascii="Arial" w:hAnsi="Arial" w:cs="Arial"/>
          <w:color w:val="000000"/>
          <w:sz w:val="20"/>
          <w:szCs w:val="20"/>
        </w:rPr>
      </w:pPr>
      <w:r>
        <w:rPr/>
        <w:t xml:space="preserve">28. </w:t>
        <w:tab/>
        <w:t xml:space="preserve">R. B. Mitchell, K. J. Moore, L. E. Moser, J. O. Fritz, D. D. Redfearn, Predicting Developmental Morphology in Switchgrass and Big Bluestem. </w:t>
      </w:r>
      <w:r>
        <w:rPr>
          <w:i/>
        </w:rPr>
        <w:t>Agronomy Journal</w:t>
      </w:r>
      <w:r>
        <w:rPr/>
        <w:t xml:space="preserve"> </w:t>
      </w:r>
      <w:r>
        <w:rPr>
          <w:b/>
        </w:rPr>
        <w:t>89</w:t>
      </w:r>
      <w:r>
        <w:rPr/>
        <w:t>, 827–832 (1997).</w:t>
      </w:r>
    </w:p>
    <w:p>
      <w:pPr>
        <w:pStyle w:val="Bibliography1"/>
        <w:rPr>
          <w:rFonts w:ascii="Arial" w:hAnsi="Arial" w:cs="Arial"/>
          <w:color w:val="000000"/>
          <w:sz w:val="20"/>
          <w:szCs w:val="20"/>
        </w:rPr>
      </w:pPr>
      <w:r>
        <w:rPr/>
        <w:t xml:space="preserve">29. </w:t>
        <w:tab/>
        <w:t xml:space="preserve">D. J. Parrish, J. H. Fike, The Biology and Agronomy of Switchgrass for Biofuels. </w:t>
      </w:r>
      <w:r>
        <w:rPr>
          <w:i/>
        </w:rPr>
        <w:t>Critical Reviews in Plant Sciences</w:t>
      </w:r>
      <w:r>
        <w:rPr/>
        <w:t xml:space="preserve"> </w:t>
      </w:r>
      <w:r>
        <w:rPr>
          <w:b/>
        </w:rPr>
        <w:t>24</w:t>
      </w:r>
      <w:r>
        <w:rPr/>
        <w:t>, 423–459 (2005).</w:t>
      </w:r>
    </w:p>
    <w:p>
      <w:pPr>
        <w:pStyle w:val="Bibliography1"/>
        <w:rPr>
          <w:rFonts w:ascii="Arial" w:hAnsi="Arial" w:cs="Arial"/>
          <w:color w:val="000000"/>
          <w:sz w:val="20"/>
          <w:szCs w:val="20"/>
        </w:rPr>
      </w:pPr>
      <w:r>
        <w:rPr/>
        <w:t xml:space="preserve">30. </w:t>
        <w:tab/>
        <w:t xml:space="preserve">M. D. Casler, K. P. Vogel, C. M. Taliaferro, R. L. Wynia, Latitudinal Adaptation of Switchgrass Populations. </w:t>
      </w:r>
      <w:r>
        <w:rPr>
          <w:i/>
        </w:rPr>
        <w:t>Crop Science</w:t>
      </w:r>
      <w:r>
        <w:rPr/>
        <w:t xml:space="preserve"> </w:t>
      </w:r>
      <w:r>
        <w:rPr>
          <w:b/>
        </w:rPr>
        <w:t>44</w:t>
      </w:r>
      <w:r>
        <w:rPr/>
        <w:t>, 293–303 (2004).</w:t>
      </w:r>
    </w:p>
    <w:p>
      <w:pPr>
        <w:pStyle w:val="Bibliography1"/>
        <w:rPr>
          <w:rFonts w:ascii="Arial" w:hAnsi="Arial" w:cs="Arial"/>
          <w:color w:val="000000"/>
          <w:sz w:val="20"/>
          <w:szCs w:val="20"/>
        </w:rPr>
      </w:pPr>
      <w:r>
        <w:rPr/>
        <w:t xml:space="preserve">31. </w:t>
        <w:tab/>
        <w:t xml:space="preserve">J. T. Lovell, </w:t>
      </w:r>
      <w:r>
        <w:rPr>
          <w:i/>
        </w:rPr>
        <w:t>et al.</w:t>
      </w:r>
      <w:r>
        <w:rPr/>
        <w:t xml:space="preserve">, Genomic mechanisms of climate adaptation in polyploid bioenergy switchgrass. </w:t>
      </w:r>
      <w:r>
        <w:rPr>
          <w:i/>
        </w:rPr>
        <w:t>Nature</w:t>
      </w:r>
      <w:r>
        <w:rPr/>
        <w:t>, 1–7 (2021).</w:t>
      </w:r>
    </w:p>
    <w:p>
      <w:pPr>
        <w:pStyle w:val="Bibliography1"/>
        <w:rPr>
          <w:rFonts w:ascii="Arial" w:hAnsi="Arial" w:cs="Arial"/>
          <w:color w:val="000000"/>
          <w:sz w:val="20"/>
          <w:szCs w:val="20"/>
        </w:rPr>
      </w:pPr>
      <w:r>
        <w:rPr/>
        <w:t xml:space="preserve">32. </w:t>
        <w:tab/>
        <w:t xml:space="preserve">C. L. Porter, An Analysis of Variation Between Upland and Lowland Switchgrass, Panicum Virgatum L., in Central Oklahoma. </w:t>
      </w:r>
      <w:r>
        <w:rPr>
          <w:i/>
        </w:rPr>
        <w:t>Ecology</w:t>
      </w:r>
      <w:r>
        <w:rPr/>
        <w:t xml:space="preserve"> </w:t>
      </w:r>
      <w:r>
        <w:rPr>
          <w:b/>
        </w:rPr>
        <w:t>47</w:t>
      </w:r>
      <w:r>
        <w:rPr/>
        <w:t>, 980–992 (1966).</w:t>
      </w:r>
    </w:p>
    <w:p>
      <w:pPr>
        <w:pStyle w:val="Bibliography1"/>
        <w:rPr>
          <w:rFonts w:ascii="Arial" w:hAnsi="Arial" w:cs="Arial"/>
          <w:color w:val="000000"/>
          <w:sz w:val="20"/>
          <w:szCs w:val="20"/>
        </w:rPr>
      </w:pPr>
      <w:r>
        <w:rPr/>
        <w:t xml:space="preserve">33. </w:t>
        <w:tab/>
        <w:t xml:space="preserve">E. R. Milano, D. B. Lowry, T. E. Juenger, The Genetic Basis of Upland/Lowland Ecotype Divergence in Switchgrass (Panicum virgatum). </w:t>
      </w:r>
      <w:r>
        <w:rPr>
          <w:i/>
        </w:rPr>
        <w:t>G3 Genes|Genomes|Genetics</w:t>
      </w:r>
      <w:r>
        <w:rPr/>
        <w:t xml:space="preserve"> </w:t>
      </w:r>
      <w:r>
        <w:rPr>
          <w:b/>
        </w:rPr>
        <w:t>6</w:t>
      </w:r>
      <w:r>
        <w:rPr/>
        <w:t>, 3561–3570 (2016).</w:t>
      </w:r>
    </w:p>
    <w:p>
      <w:pPr>
        <w:pStyle w:val="Bibliography1"/>
        <w:rPr>
          <w:rFonts w:ascii="Arial" w:hAnsi="Arial" w:cs="Arial"/>
          <w:color w:val="000000"/>
          <w:sz w:val="20"/>
          <w:szCs w:val="20"/>
        </w:rPr>
      </w:pPr>
      <w:r>
        <w:rPr/>
        <w:t xml:space="preserve">34. </w:t>
        <w:tab/>
        <w:t xml:space="preserve">O. Savolainen, M. Lascoux, J. Merilä, Ecological genomics of local adaptation. </w:t>
      </w:r>
      <w:r>
        <w:rPr>
          <w:i/>
        </w:rPr>
        <w:t>Nat Rev Genet</w:t>
      </w:r>
      <w:r>
        <w:rPr/>
        <w:t xml:space="preserve"> </w:t>
      </w:r>
      <w:r>
        <w:rPr>
          <w:b/>
        </w:rPr>
        <w:t>14</w:t>
      </w:r>
      <w:r>
        <w:rPr/>
        <w:t>, 807–820 (2013).</w:t>
      </w:r>
    </w:p>
    <w:p>
      <w:pPr>
        <w:pStyle w:val="Bibliography1"/>
        <w:rPr>
          <w:rFonts w:ascii="Arial" w:hAnsi="Arial" w:cs="Arial"/>
          <w:color w:val="000000"/>
          <w:sz w:val="20"/>
          <w:szCs w:val="20"/>
        </w:rPr>
      </w:pPr>
      <w:r>
        <w:rPr/>
        <w:t xml:space="preserve">35. </w:t>
        <w:tab/>
        <w:t xml:space="preserve">D. B. Lowry, </w:t>
      </w:r>
      <w:r>
        <w:rPr>
          <w:i/>
        </w:rPr>
        <w:t>et al.</w:t>
      </w:r>
      <w:r>
        <w:rPr/>
        <w:t xml:space="preserve">, QTL × environment interactions underlie adaptive divergence in switchgrass across a large latitudinal gradient. </w:t>
      </w:r>
      <w:r>
        <w:rPr>
          <w:i/>
        </w:rPr>
        <w:t>PNAS</w:t>
      </w:r>
      <w:r>
        <w:rPr/>
        <w:t xml:space="preserve"> </w:t>
      </w:r>
      <w:r>
        <w:rPr>
          <w:b/>
        </w:rPr>
        <w:t>116</w:t>
      </w:r>
      <w:r>
        <w:rPr/>
        <w:t>, 12933–12941 (2019).</w:t>
      </w:r>
    </w:p>
    <w:p>
      <w:pPr>
        <w:sectPr>
          <w:type w:val="continuous"/>
          <w:pgSz w:w="12240" w:h="15840"/>
          <w:pgMar w:left="1800" w:right="1800" w:header="720" w:top="1440" w:footer="720" w:bottom="1440" w:gutter="0"/>
          <w:formProt w:val="false"/>
          <w:textDirection w:val="lrTb"/>
          <w:docGrid w:type="default" w:linePitch="100" w:charSpace="4096"/>
        </w:sectPr>
      </w:pPr>
    </w:p>
    <w:p>
      <w:pPr>
        <w:pStyle w:val="Normal"/>
        <w:pBdr/>
        <w:spacing w:before="0" w:after="200"/>
        <w:contextualSpacing/>
        <w:rPr>
          <w:rFonts w:ascii="Arial" w:hAnsi="Arial" w:cs="Arial"/>
          <w:color w:val="000000"/>
          <w:sz w:val="20"/>
          <w:szCs w:val="20"/>
        </w:rPr>
      </w:pPr>
      <w:r>
        <w:rPr/>
      </w:r>
    </w:p>
    <w:p>
      <w:pPr>
        <w:pStyle w:val="Normal"/>
        <w:keepNext w:val="true"/>
        <w:pBdr/>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jc w:val="both"/>
        <w:rPr>
          <w:rFonts w:ascii="Arial" w:hAnsi="Arial" w:cs="Arial"/>
          <w:b/>
          <w:b/>
          <w:color w:val="000000"/>
          <w:sz w:val="20"/>
          <w:szCs w:val="20"/>
        </w:rPr>
      </w:pPr>
      <w:r>
        <w:rPr>
          <w:rFonts w:cs="Arial" w:ascii="Arial" w:hAnsi="Arial"/>
          <w:b/>
          <w:color w:val="000000"/>
          <w:sz w:val="20"/>
          <w:szCs w:val="20"/>
        </w:rPr>
        <w:t>Figures and Tables</w:t>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pBdr/>
        <w:spacing w:before="240" w:after="60"/>
        <w:contextualSpacing/>
        <w:rPr>
          <w:rFonts w:ascii="Arial" w:hAnsi="Arial" w:cs="Arial"/>
          <w:color w:val="000000"/>
          <w:sz w:val="20"/>
          <w:szCs w:val="20"/>
        </w:rPr>
      </w:pPr>
      <w:r>
        <w:rPr>
          <w:rFonts w:cs="Arial" w:ascii="Arial" w:hAnsi="Arial"/>
          <w:b/>
          <w:color w:val="000000"/>
          <w:sz w:val="20"/>
          <w:szCs w:val="20"/>
        </w:rPr>
        <w:t xml:space="preserve">Figure 1. </w:t>
      </w:r>
      <w:r>
        <w:rPr>
          <w:rFonts w:cs="Arial" w:ascii="Arial" w:hAnsi="Arial"/>
          <w:color w:val="000000"/>
          <w:sz w:val="20"/>
          <w:szCs w:val="20"/>
        </w:rPr>
        <w:t>Type or paste legend here.  Paste figure above the legend.</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&lt;insert page break here&gt;</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 xml:space="preserve">Figure 2. </w:t>
      </w:r>
      <w:r>
        <w:rPr>
          <w:rFonts w:cs="Arial" w:ascii="Arial" w:hAnsi="Arial"/>
          <w:color w:val="000000"/>
          <w:sz w:val="20"/>
          <w:szCs w:val="20"/>
        </w:rPr>
        <w:t>Type or paste legend here.  Paste figure above the legend.</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&lt;insert page break here&gt;</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 xml:space="preserve">Table 1. </w:t>
      </w:r>
      <w:r>
        <w:rPr>
          <w:rFonts w:cs="Arial" w:ascii="Arial" w:hAnsi="Arial"/>
          <w:color w:val="000000"/>
          <w:sz w:val="20"/>
          <w:szCs w:val="20"/>
        </w:rPr>
        <w:t>Type or paste table title here. Paste table below the title.</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&lt;insert page break here&gt;</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Table 2.</w:t>
      </w:r>
      <w:r>
        <w:rPr>
          <w:rFonts w:cs="Arial" w:ascii="Arial" w:hAnsi="Arial"/>
          <w:color w:val="000000"/>
          <w:sz w:val="20"/>
          <w:szCs w:val="20"/>
        </w:rPr>
        <w:t xml:space="preserve"> Type or paste table title here. Paste table below the title. </w:t>
      </w:r>
    </w:p>
    <w:p>
      <w:pPr>
        <w:pStyle w:val="Normal"/>
        <w:keepNext w:val="true"/>
        <w:pBdr/>
        <w:spacing w:before="240" w:after="60"/>
        <w:contextualSpacing/>
        <w:rPr>
          <w:rFonts w:ascii="Arial" w:hAnsi="Arial" w:cs="Arial"/>
          <w:color w:val="000000"/>
          <w:sz w:val="20"/>
          <w:szCs w:val="20"/>
        </w:rPr>
      </w:pPr>
      <w:r>
        <w:rPr>
          <w:rFonts w:cs="Arial" w:ascii="Arial" w:hAnsi="Arial"/>
          <w:color w:val="000000"/>
          <w:sz w:val="20"/>
          <w:szCs w:val="20"/>
        </w:rPr>
      </w:r>
    </w:p>
    <w:p>
      <w:pPr>
        <w:pStyle w:val="Normal"/>
        <w:spacing w:before="0" w:after="200"/>
        <w:rPr>
          <w:rFonts w:ascii="Arial" w:hAnsi="Arial" w:cs="Arial"/>
          <w:sz w:val="20"/>
          <w:szCs w:val="20"/>
        </w:rPr>
      </w:pPr>
      <w:r>
        <w:rPr/>
      </w:r>
    </w:p>
    <w:sectPr>
      <w:type w:val="continuous"/>
      <w:pgSz w:w="12240" w:h="15840"/>
      <w:pgMar w:left="1800" w:right="1800" w:header="720" w:top="1440" w:footer="720"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12</w:t>
    </w:r>
    <w:r>
      <w:rPr>
        <w:color w:val="000000"/>
      </w:rPr>
      <w:fldChar w:fldCharType="end"/>
    </w:r>
  </w:p>
  <w:p>
    <w:pPr>
      <w:pStyle w:val="Normal"/>
      <w:pBdr/>
      <w:tabs>
        <w:tab w:val="clear" w:pos="720"/>
        <w:tab w:val="center" w:pos="4680" w:leader="none"/>
        <w:tab w:val="right" w:pos="9360" w:leader="none"/>
      </w:tabs>
      <w:spacing w:before="0" w:after="20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szCs w:val="20"/>
      </w:rPr>
    </w:pPr>
    <w:r>
      <w:rPr>
        <w:sz w:val="20"/>
        <w:szCs w:val="20"/>
      </w:rPr>
    </w:r>
  </w:p>
  <w:p>
    <w:pPr>
      <w:pStyle w:val="Normal"/>
      <w:widowControl/>
      <w:bidi w:val="0"/>
      <w:spacing w:before="0" w:after="20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e6133d"/>
    <w:rPr>
      <w:sz w:val="16"/>
      <w:szCs w:val="16"/>
    </w:rPr>
  </w:style>
  <w:style w:type="character" w:styleId="CommentTextChar" w:customStyle="1">
    <w:name w:val="Comment Text Char"/>
    <w:basedOn w:val="DefaultParagraphFont"/>
    <w:link w:val="CommentText"/>
    <w:uiPriority w:val="99"/>
    <w:semiHidden/>
    <w:qFormat/>
    <w:rsid w:val="00e6133d"/>
    <w:rPr>
      <w:rFonts w:ascii="Times New Roman" w:hAnsi="Times New Roman" w:eastAsia="Times New Roman" w:cs="Times New Roman"/>
      <w:sz w:val="20"/>
      <w:szCs w:val="20"/>
    </w:rPr>
  </w:style>
  <w:style w:type="character" w:styleId="InternetLink">
    <w:name w:val="Hyperlink"/>
    <w:basedOn w:val="DefaultParagraphFont"/>
    <w:uiPriority w:val="99"/>
    <w:unhideWhenUsed/>
    <w:rsid w:val="00e6133d"/>
    <w:rPr>
      <w:color w:val="0000FF" w:themeColor="hyperlink"/>
      <w:u w:val="single"/>
    </w:rPr>
  </w:style>
  <w:style w:type="character" w:styleId="BalloonTextChar" w:customStyle="1">
    <w:name w:val="Balloon Text Char"/>
    <w:basedOn w:val="DefaultParagraphFont"/>
    <w:link w:val="BalloonText"/>
    <w:uiPriority w:val="99"/>
    <w:semiHidden/>
    <w:qFormat/>
    <w:rsid w:val="00e6133d"/>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e6133d"/>
    <w:rPr>
      <w:rFonts w:ascii="Times New Roman" w:hAnsi="Times New Roman" w:eastAsia="Times New Roman"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e6133d"/>
    <w:pPr>
      <w:spacing w:before="0" w:after="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e6133d"/>
    <w:pPr>
      <w:spacing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e6133d"/>
    <w:pPr>
      <w:spacing w:before="0" w:after="200"/>
    </w:pPr>
    <w:rPr>
      <w:rFonts w:ascii="Calibri" w:hAnsi="Calibri" w:eastAsia="Calibri" w:cs="" w:asciiTheme="minorHAnsi" w:cstheme="minorBidi" w:eastAsiaTheme="minorHAnsi" w:hAnsiTheme="minorHAnsi"/>
      <w:b/>
      <w:bCs/>
    </w:rPr>
  </w:style>
  <w:style w:type="paragraph" w:styleId="SMcaption" w:customStyle="1">
    <w:name w:val="SM caption"/>
    <w:basedOn w:val="Normal"/>
    <w:qFormat/>
    <w:rsid w:val="00483d1d"/>
    <w:pPr>
      <w:spacing w:before="0" w:after="0"/>
    </w:pPr>
    <w:rPr>
      <w:rFonts w:ascii="Times New Roman" w:hAnsi="Times New Roman" w:eastAsia="Times New Roman" w:cs="Times New Roman"/>
      <w:sz w:val="24"/>
      <w:szCs w:val="20"/>
    </w:rPr>
  </w:style>
  <w:style w:type="paragraph" w:styleId="NormalWeb">
    <w:name w:val="Normal (Web)"/>
    <w:basedOn w:val="Normal"/>
    <w:uiPriority w:val="99"/>
    <w:semiHidden/>
    <w:qFormat/>
    <w:rsid w:val="00483d1d"/>
    <w:pPr>
      <w:spacing w:before="0" w:after="0"/>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Bibliography1">
    <w:name w:val="Bibliography 1"/>
    <w:basedOn w:val="Index"/>
    <w:qFormat/>
    <w:pPr>
      <w:tabs>
        <w:tab w:val="clear" w:pos="720"/>
        <w:tab w:val="left" w:pos="504" w:leader="none"/>
      </w:tabs>
      <w:spacing w:lineRule="atLeast" w:line="240" w:before="0" w:after="240"/>
      <w:ind w:left="504" w:hanging="50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lice.macqueen@utexas.edu" TargetMode="External"/><Relationship Id="rId4" Type="http://schemas.openxmlformats.org/officeDocument/2006/relationships/hyperlink" Target="https://orcid.org/" TargetMode="External"/><Relationship Id="rId5" Type="http://schemas.openxmlformats.org/officeDocument/2006/relationships/hyperlink" Target="http://www.pnascentral.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ECC7-B453-4A88-8946-6CAE2640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LibreOffice/7.0.6.2$Linux_X86_64 LibreOffice_project/00$Build-2</Application>
  <AppVersion>15.0000</AppVersion>
  <Pages>12</Pages>
  <Words>4519</Words>
  <Characters>26007</Characters>
  <CharactersWithSpaces>30454</CharactersWithSpaces>
  <Paragraphs>105</Paragraphs>
  <Company>The National Academies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2020-09-28T17:00:00Z</dcterms:created>
  <dc:creator>Shuler, Megan</dc:creator>
  <dc:description/>
  <dc:language>en-US</dc:language>
  <cp:lastModifiedBy/>
  <dcterms:modified xsi:type="dcterms:W3CDTF">2021-06-21T12:55:52Z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id="hIGpsXIe"/&gt;&lt;style id="http://www.zotero.org/styles/pnas" hasBibliography="1" bibliographyStyleHasBeenSet="1"/&gt;&lt;prefs&gt;&lt;pref name="fieldType" value="ReferenceMark"/&gt;&lt;/prefs&gt;&lt;/data&gt;</vt:lpwstr>
  </property>
</Properties>
</file>