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People at HA who constructed the new fourway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biologists interested in GxE,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r w:rsidRPr="00BF7FD8">
        <w:rPr>
          <w:b/>
          <w:bCs/>
        </w:rPr>
        <w:t>Introduction</w:t>
      </w:r>
    </w:p>
    <w:p w14:paraId="3D1E28D7" w14:textId="33AE91BB"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 xml:space="preserve">Global climate forcing is increasing temperatures and causing more extreme weather events, such as droughts, heatwaves, and severe rain events (Ummenhofer and Meehl,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018F365B" w14:textId="77777777" w:rsidR="004144D8"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t xml:space="preserve">Extensive </w:t>
      </w:r>
      <w:r w:rsidR="00954192">
        <w:t>work on this subject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xml:space="preserve"> thaliana (Wei et al., 2020; Cho et al., 2017; Shrestha et al., 2014; Brambilla and Fornara, 2013; Tsuji et al., 2013; Andres and Coupland, 2012; Tsuji et al., 2011; Wilczek et </w:t>
      </w:r>
      <w:r w:rsidRPr="00E81A33">
        <w:lastRenderedPageBreak/>
        <w:t xml:space="preserve">al., 2010). Day length (or photoperiod) is one of the most predictable cues in nature and plants </w:t>
      </w:r>
      <w:r w:rsidR="00954192">
        <w:t>sense</w:t>
      </w:r>
      <w:r w:rsidRPr="00E81A33">
        <w:t xml:space="preserve"> day length to </w:t>
      </w:r>
      <w:r w:rsidR="00954192">
        <w:t>gauge both</w:t>
      </w:r>
      <w:r w:rsidRPr="00E81A33">
        <w:t xml:space="preserve"> diurnal and seasonal time and to initiate reproductive development at the right time of the year. Several genes controlling flowering in response to photoperiod are conserved between rice and </w:t>
      </w:r>
      <w:r w:rsidRPr="00B64EDF">
        <w:rPr>
          <w:i/>
          <w:iCs/>
        </w:rPr>
        <w:t>Arabidopsis</w:t>
      </w:r>
      <w:r w:rsidRPr="00E81A33">
        <w:t xml:space="preserve">, and the molecular mechanisms involved are similar. </w:t>
      </w:r>
      <w:r w:rsidR="00954192" w:rsidRPr="00954192">
        <w:t xml:space="preserve">Photoperiod changes trigger expression of florigenic proteins - </w:t>
      </w:r>
      <w:r w:rsidR="00954192" w:rsidRPr="00B64EDF">
        <w:rPr>
          <w:i/>
          <w:iCs/>
        </w:rPr>
        <w:t>FLOWERING LOCUS T</w:t>
      </w:r>
      <w:r w:rsidR="00954192" w:rsidRPr="00954192">
        <w:t xml:space="preserve"> (</w:t>
      </w:r>
      <w:r w:rsidR="00954192" w:rsidRPr="00B64EDF">
        <w:rPr>
          <w:i/>
          <w:iCs/>
        </w:rPr>
        <w:t>FT</w:t>
      </w:r>
      <w:r w:rsidR="00954192" w:rsidRPr="00954192">
        <w:t xml:space="preserve">) in </w:t>
      </w:r>
      <w:r w:rsidR="00954192" w:rsidRPr="00954192">
        <w:rPr>
          <w:i/>
          <w:iCs/>
        </w:rPr>
        <w:t>Arabidopsis</w:t>
      </w:r>
      <w:r w:rsidR="00954192" w:rsidRPr="00954192">
        <w:t>, and</w:t>
      </w:r>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 to induce reproductive development.</w:t>
      </w:r>
      <w:r w:rsidRPr="00E81A33">
        <w:t xml:space="preserve"> However, short day plants also possess unique ge</w:t>
      </w:r>
      <w:r w:rsidR="00B64EDF">
        <w:t>nes and molecular</w:t>
      </w:r>
      <w:r w:rsidR="00F94B97">
        <w:t xml:space="preserve"> </w:t>
      </w:r>
      <w:r w:rsidRPr="00E81A33">
        <w:t>pathways to regulate flowering (Wei et al., 2020; Brambilla and Fornara, 2013).</w:t>
      </w:r>
      <w:r>
        <w:t xml:space="preserve"> </w:t>
      </w:r>
      <w:r w:rsidR="004144D8">
        <w:t xml:space="preserve"> </w:t>
      </w:r>
    </w:p>
    <w:p w14:paraId="584D8C07" w14:textId="315E166E" w:rsidR="00E76EE1" w:rsidRDefault="007C5A21" w:rsidP="00331407">
      <w:pPr>
        <w:ind w:firstLine="720"/>
        <w:rPr>
          <w:i/>
          <w:iCs/>
        </w:rPr>
      </w:pPr>
      <w:r>
        <w:rPr>
          <w:i/>
          <w:iCs/>
        </w:rPr>
        <w:t xml:space="preserve">There have been good GxE flowering studies in Arabidopsis and in Helianthus – Ben Blackman’s work – as well as in annual row crops. So there aren’t many perennial systems in which GxE has been studied, and there aren’t many wild systems where we 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you’d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4A744495" w14:textId="33236480" w:rsidR="00E76EE1" w:rsidRPr="00E76EE1" w:rsidRDefault="007102B8" w:rsidP="00954192">
      <w:pPr>
        <w:ind w:firstLine="720"/>
        <w:rPr>
          <w:i/>
          <w:iCs/>
        </w:rPr>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Esbroeck et al 2003). </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greenup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7DFF4020" w14:textId="77777777"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 F2 cross between individuals from the most distinctive </w:t>
      </w:r>
      <w:r w:rsidR="009E0622">
        <w:t>subpopulations for flowering response to dissect the genetics of flowering in these groups. Finally, we combine the results from this cross with genome-</w:t>
      </w:r>
      <w:r w:rsidR="009E0622">
        <w:lastRenderedPageBreak/>
        <w:t xml:space="preserv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7777777" w:rsidR="004144D8" w:rsidRDefault="004144D8" w:rsidP="004144D8"/>
    <w:p w14:paraId="0342FADA" w14:textId="32C24824" w:rsidR="00E466BF" w:rsidRPr="00723A28" w:rsidRDefault="001B6997" w:rsidP="004144D8">
      <w:pPr>
        <w:rPr>
          <w:b/>
          <w:bCs/>
        </w:rPr>
      </w:pPr>
      <w:r>
        <w:rPr>
          <w:b/>
          <w:bCs/>
        </w:rPr>
        <w:t>R</w:t>
      </w:r>
      <w:r w:rsidR="00E466BF" w:rsidRPr="00723A28">
        <w:rPr>
          <w:b/>
          <w:bCs/>
        </w:rPr>
        <w:t>esults</w:t>
      </w:r>
    </w:p>
    <w:p w14:paraId="485FAC65" w14:textId="7B881BD1" w:rsidR="00E466BF" w:rsidRDefault="00E466BF">
      <w:pPr>
        <w:rPr>
          <w:i/>
          <w:iCs/>
        </w:rPr>
      </w:pPr>
      <w:r>
        <w:rPr>
          <w:i/>
          <w:iCs/>
        </w:rPr>
        <w:t>Diversity panel captures the range of phenological responses across the common gardens</w:t>
      </w:r>
    </w:p>
    <w:p w14:paraId="69E5DFF2" w14:textId="6F9BBB7C"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w:t>
      </w:r>
      <w:r w:rsidR="00177EE0">
        <w:t>two</w:t>
      </w:r>
      <w:r w:rsidR="006E16D6">
        <w:t xml:space="preserve"> days.</w:t>
      </w:r>
      <w:r w:rsidR="00F16304">
        <w:t xml:space="preserve"> We then explored the overall patterns of greenup and flowering within </w:t>
      </w:r>
      <w:r w:rsidR="00177EE0">
        <w:t>sequenced individuals from the Midwest</w:t>
      </w:r>
      <w:r w:rsidR="002E6C64">
        <w:t>ern subpopulation (13</w:t>
      </w:r>
      <w:r w:rsidR="00BA7E68">
        <w:t>4</w:t>
      </w:r>
      <w:r w:rsidR="002E6C64">
        <w:t xml:space="preserve"> genotypes) </w:t>
      </w:r>
      <w:r w:rsidR="00177EE0">
        <w:t>and Gulf</w:t>
      </w:r>
      <w:r w:rsidR="002E6C64">
        <w:t xml:space="preserve"> subpopulation (229 genotypes)</w:t>
      </w:r>
      <w:r w:rsidR="007C5A21">
        <w:t>, as these groups had the most distinct phenological responses across our common gardens</w:t>
      </w:r>
      <w:r w:rsidR="0071510B">
        <w:t xml:space="preserve"> (Figure 1A)</w:t>
      </w:r>
      <w:r w:rsidR="007C5A21">
        <w:t xml:space="preserve">. </w:t>
      </w:r>
    </w:p>
    <w:p w14:paraId="770D1094" w14:textId="4AD0103F" w:rsidR="00AC32B9" w:rsidRPr="005D2E94" w:rsidRDefault="00AC32B9" w:rsidP="009E0622">
      <w:pPr>
        <w:ind w:firstLine="720"/>
      </w:pPr>
      <w:r>
        <w:t xml:space="preserve">We first determined the narrow-sense heritabilities </w:t>
      </w:r>
      <w:r w:rsidR="001D5AD0">
        <w:t>(h</w:t>
      </w:r>
      <w:r w:rsidR="001D5AD0">
        <w:rPr>
          <w:vertAlign w:val="superscript"/>
        </w:rPr>
        <w:t>2</w:t>
      </w:r>
      <w:r w:rsidR="001D5AD0">
        <w:t>)</w:t>
      </w:r>
      <w:r w:rsidR="001D5AD0">
        <w:rPr>
          <w:vertAlign w:val="superscript"/>
        </w:rPr>
        <w:t xml:space="preserve"> </w:t>
      </w:r>
      <w:r>
        <w:t>for greenup and flowering dates at single common gardens and across all eight common gardens</w:t>
      </w:r>
      <w:r w:rsidR="00F4253C">
        <w:t xml:space="preserve"> (Figure 1</w:t>
      </w:r>
      <w:r w:rsidR="0071510B">
        <w:t>C</w:t>
      </w:r>
      <w:r w:rsidR="00F4253C">
        <w:t>)</w:t>
      </w:r>
      <w:r>
        <w:t>.</w:t>
      </w:r>
      <w:r w:rsidR="00F4253C">
        <w:t xml:space="preserve"> To allow for the possibility that different subpopulations had different strengths of connection between these phenotypes and the genotypes</w:t>
      </w:r>
      <w:r w:rsidR="00FD4E05">
        <w:t xml:space="preserve"> (Korte and Farlow 2013)</w:t>
      </w:r>
      <w:r w:rsidR="00F4253C">
        <w:t>, we determined h</w:t>
      </w:r>
      <w:r w:rsidR="00F4253C">
        <w:rPr>
          <w:vertAlign w:val="superscript"/>
        </w:rPr>
        <w:t>2</w:t>
      </w:r>
      <w:r w:rsidR="00F4253C">
        <w:t xml:space="preserve"> both within and across the Midwestern and Gulf subpopulations.</w:t>
      </w:r>
      <w:r w:rsidR="00542985">
        <w:t xml:space="preserve"> Within common gardens, h</w:t>
      </w:r>
      <w:r w:rsidR="00542985">
        <w:rPr>
          <w:vertAlign w:val="superscript"/>
        </w:rPr>
        <w:t>2</w:t>
      </w:r>
      <w:r w:rsidR="00542985">
        <w:t xml:space="preserve"> were typically quite high</w:t>
      </w:r>
      <w:r w:rsidR="004F5292">
        <w:t xml:space="preserve">: 62% </w:t>
      </w:r>
      <w:r w:rsidR="005D2E94">
        <w:t xml:space="preserve">on average </w:t>
      </w:r>
      <w:r w:rsidR="004F5292">
        <w:t>for greenup</w:t>
      </w:r>
      <w:r w:rsidR="00F00F74">
        <w:t xml:space="preserve"> date</w:t>
      </w:r>
      <w:r w:rsidR="004F5292">
        <w:t>, and 87% for flowering date.</w:t>
      </w:r>
      <w:r w:rsidR="005D2E94">
        <w:t xml:space="preserve"> However, </w:t>
      </w:r>
      <w:r w:rsidR="00296553">
        <w:t>h</w:t>
      </w:r>
      <w:r w:rsidR="00296553">
        <w:rPr>
          <w:vertAlign w:val="superscript"/>
        </w:rPr>
        <w:t>2</w:t>
      </w:r>
      <w:r w:rsidR="00296553">
        <w:t xml:space="preserve"> were not consistently high, notably </w:t>
      </w:r>
      <w:r w:rsidR="00CD6A0B">
        <w:t xml:space="preserve">for greenup </w:t>
      </w:r>
      <w:r w:rsidR="00296553">
        <w:t>at our OK and NE common gardens</w:t>
      </w:r>
      <w:r w:rsidR="00CD6A0B">
        <w:t xml:space="preserve">. </w:t>
      </w:r>
      <w:r w:rsidR="005B0448">
        <w:t>Greenup dates at these sites</w:t>
      </w:r>
      <w:r w:rsidR="009D3931">
        <w:t xml:space="preserve"> were uncorrelated with </w:t>
      </w:r>
      <w:r w:rsidR="005B0448">
        <w:t>greenup dates for clonal replicates</w:t>
      </w:r>
      <w:r w:rsidR="009D3931">
        <w:t xml:space="preserve"> at other sites</w:t>
      </w:r>
      <w:r w:rsidR="00741398">
        <w:t xml:space="preserve"> (</w:t>
      </w:r>
      <w:r w:rsidR="0071510B">
        <w:t>Figure 1B</w:t>
      </w:r>
      <w:r w:rsidR="00741398">
        <w:t>)</w:t>
      </w:r>
      <w:r w:rsidR="009D3931">
        <w:t>.</w:t>
      </w:r>
      <w:r w:rsidR="005B0448">
        <w:t xml:space="preserve"> </w:t>
      </w:r>
      <w:r w:rsidR="00A238AD">
        <w:t>Both within and across subpopulations, sg</w:t>
      </w:r>
      <w:r w:rsidR="005B0448">
        <w:t>reenup dates at the Texas sites were strongly negatively correlated with greenup dates at the northernmost four sites</w:t>
      </w:r>
      <w:r w:rsidR="00A238AD">
        <w:t xml:space="preserve"> (Figure 1B). </w:t>
      </w:r>
      <w:r w:rsidR="005B0448">
        <w:t>Flowering dates were generally positively correlated, and more highly correlated at the northern sites, with little correlation between TX1 and other sites in the Midwest subpopulation</w:t>
      </w:r>
      <w:r w:rsidR="00A238AD">
        <w:t xml:space="preserve"> (Figure 1B)</w:t>
      </w:r>
      <w:r w:rsidR="005B0448">
        <w:t>. These</w:t>
      </w:r>
      <w:r w:rsidR="00A238AD">
        <w:t xml:space="preserve"> negative and small </w:t>
      </w:r>
      <w:r w:rsidR="005B0448">
        <w:t>correlations</w:t>
      </w:r>
      <w:r w:rsidR="00A238AD">
        <w:t xml:space="preserve"> undoubtedly contributed to the low </w:t>
      </w:r>
      <w:r w:rsidR="005B0448">
        <w:t>h</w:t>
      </w:r>
      <w:r w:rsidR="005B0448">
        <w:rPr>
          <w:vertAlign w:val="superscript"/>
        </w:rPr>
        <w:t>2</w:t>
      </w:r>
      <w:r w:rsidR="005B0448">
        <w:t xml:space="preserve"> values for </w:t>
      </w:r>
      <w:r w:rsidR="00A238AD">
        <w:t>greenup and flowering date across a</w:t>
      </w:r>
      <w:r w:rsidR="005B0448">
        <w:t>ll eight sites</w:t>
      </w:r>
      <w:r w:rsidR="005D2E94">
        <w:t>:</w:t>
      </w:r>
      <w:r w:rsidR="005B0448">
        <w:t xml:space="preserve"> h</w:t>
      </w:r>
      <w:r w:rsidR="005B0448">
        <w:rPr>
          <w:vertAlign w:val="superscript"/>
        </w:rPr>
        <w:t>2</w:t>
      </w:r>
      <w:r w:rsidR="005B0448">
        <w:t xml:space="preserve"> was</w:t>
      </w:r>
      <w:r w:rsidR="005D2E94">
        <w:t xml:space="preserve"> </w:t>
      </w:r>
      <w:r w:rsidR="00296553">
        <w:t xml:space="preserve">1% on average for greenup and 15.6% for flowering date. </w:t>
      </w:r>
      <w:r w:rsidR="00741398">
        <w:t xml:space="preserve">These data indicated the presence of </w:t>
      </w:r>
      <w:r w:rsidR="0071510B">
        <w:t xml:space="preserve">numerous </w:t>
      </w:r>
      <w:r w:rsidR="00741398">
        <w:t>rank-changing genotype by environment interactions for these phenotypes across these common gardens.</w:t>
      </w:r>
    </w:p>
    <w:p w14:paraId="5A03CDF8" w14:textId="513FF03B" w:rsidR="001B04AB" w:rsidRDefault="008E30F5" w:rsidP="00FD4E05">
      <w:r>
        <w:rPr>
          <w:noProof/>
        </w:rPr>
        <w:lastRenderedPageBreak/>
        <w:drawing>
          <wp:anchor distT="0" distB="0" distL="114300" distR="114300" simplePos="0" relativeHeight="251683840" behindDoc="0" locked="0" layoutInCell="1" allowOverlap="1" wp14:anchorId="0A3C5364" wp14:editId="1F127FCD">
            <wp:simplePos x="0" y="0"/>
            <wp:positionH relativeFrom="margin">
              <wp:align>right</wp:align>
            </wp:positionH>
            <wp:positionV relativeFrom="paragraph">
              <wp:posOffset>2023745</wp:posOffset>
            </wp:positionV>
            <wp:extent cx="5943600" cy="4772660"/>
            <wp:effectExtent l="0" t="0" r="0" b="8890"/>
            <wp:wrapSquare wrapText="bothSides"/>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1_GWAS_v1.png"/>
                    <pic:cNvPicPr/>
                  </pic:nvPicPr>
                  <pic:blipFill rotWithShape="1">
                    <a:blip r:embed="rId7" cstate="print">
                      <a:extLst>
                        <a:ext uri="{28A0092B-C50C-407E-A947-70E740481C1C}">
                          <a14:useLocalDpi xmlns:a14="http://schemas.microsoft.com/office/drawing/2010/main" val="0"/>
                        </a:ext>
                      </a:extLst>
                    </a:blip>
                    <a:srcRect t="2446" b="6364"/>
                    <a:stretch/>
                  </pic:blipFill>
                  <pic:spPr bwMode="auto">
                    <a:xfrm>
                      <a:off x="0" y="0"/>
                      <a:ext cx="5943600" cy="477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32B9">
        <w:rPr>
          <w:i/>
          <w:iCs/>
        </w:rPr>
        <w:t>Figure 1.</w:t>
      </w:r>
      <w:r w:rsidR="001A47B0">
        <w:rPr>
          <w:i/>
          <w:iCs/>
        </w:rPr>
        <w:t xml:space="preserve"> Probably need to include a map with common garden locations and locations of origin of the Midwest and Gulf individuals</w:t>
      </w:r>
      <w:r w:rsidR="007A6ABF">
        <w:rPr>
          <w:i/>
          <w:iCs/>
        </w:rPr>
        <w:t>, maybe a timeline figure of when things happened and were measured.</w:t>
      </w:r>
      <w:r w:rsidR="00AC32B9">
        <w:rPr>
          <w:i/>
          <w:iCs/>
        </w:rPr>
        <w:t xml:space="preserve"> </w:t>
      </w:r>
      <w:r w:rsidR="00AC39E8">
        <w:rPr>
          <w:i/>
          <w:iCs/>
        </w:rPr>
        <w:t xml:space="preserve">Perhaps this could be a strip running along the top of this current plot, with a small map on the left and a timeline on the right. Also, B and C should probably be swapped given how I talk about this data now. </w:t>
      </w:r>
      <w:r w:rsidR="00C6280E">
        <w:rPr>
          <w:i/>
          <w:iCs/>
        </w:rPr>
        <w:t>A)</w:t>
      </w:r>
      <w:r w:rsidR="00390283">
        <w:rPr>
          <w:i/>
          <w:iCs/>
        </w:rPr>
        <w:t xml:space="preserve"> Distribution of greenup and flowering dates across two genetically distinct switchgrass subpopulations</w:t>
      </w:r>
      <w:r w:rsidR="00AA7898">
        <w:rPr>
          <w:i/>
          <w:iCs/>
        </w:rPr>
        <w:t xml:space="preserve"> across eight common gardens</w:t>
      </w:r>
      <w:r w:rsidR="00390283">
        <w:rPr>
          <w:i/>
          <w:iCs/>
        </w:rPr>
        <w:t xml:space="preserve">. </w:t>
      </w:r>
      <w:r w:rsidR="00AA7898">
        <w:rPr>
          <w:i/>
          <w:iCs/>
        </w:rPr>
        <w:t xml:space="preserve">Purple represents </w:t>
      </w:r>
      <w:r w:rsidR="00980A54">
        <w:rPr>
          <w:i/>
          <w:iCs/>
        </w:rPr>
        <w:t>individuals from</w:t>
      </w:r>
      <w:r w:rsidR="00B72807">
        <w:rPr>
          <w:i/>
          <w:iCs/>
        </w:rPr>
        <w:t xml:space="preserve"> </w:t>
      </w:r>
      <w:r w:rsidR="00AA7898">
        <w:rPr>
          <w:i/>
          <w:iCs/>
        </w:rPr>
        <w:t xml:space="preserve">the Midwest subpopulation, and pink </w:t>
      </w:r>
      <w:r w:rsidR="00B72807">
        <w:rPr>
          <w:i/>
          <w:iCs/>
        </w:rPr>
        <w:t xml:space="preserve">individuals from </w:t>
      </w:r>
      <w:r w:rsidR="00AA7898">
        <w:rPr>
          <w:i/>
          <w:iCs/>
        </w:rPr>
        <w:t>the Gulf subpopulation. Vertical dashed line indicates the summer solstice. Common gardens are arranged in latitudinal order. B) Phenotypic correlations between clonal replicates planted at eight common gardens</w:t>
      </w:r>
      <w:r w:rsidR="001A47B0">
        <w:rPr>
          <w:i/>
          <w:iCs/>
        </w:rPr>
        <w:t>, within and between two genetic subpopulations</w:t>
      </w:r>
      <w:r w:rsidR="00AA7898">
        <w:rPr>
          <w:i/>
          <w:iCs/>
        </w:rPr>
        <w:t xml:space="preserve">. </w:t>
      </w:r>
      <w:r w:rsidR="00390283">
        <w:rPr>
          <w:i/>
          <w:iCs/>
        </w:rPr>
        <w:t xml:space="preserve"> </w:t>
      </w:r>
      <w:r w:rsidR="00C6280E">
        <w:rPr>
          <w:i/>
          <w:iCs/>
        </w:rPr>
        <w:t xml:space="preserve">C) </w:t>
      </w:r>
      <w:r w:rsidR="00AC32B9">
        <w:rPr>
          <w:i/>
          <w:iCs/>
        </w:rPr>
        <w:t xml:space="preserve">Narrow sense heritability of greenup and flowering within single common gardens </w:t>
      </w:r>
      <w:r w:rsidR="001A47B0">
        <w:rPr>
          <w:i/>
          <w:iCs/>
        </w:rPr>
        <w:t xml:space="preserve">(purple) </w:t>
      </w:r>
      <w:r w:rsidR="00AC32B9">
        <w:rPr>
          <w:i/>
          <w:iCs/>
        </w:rPr>
        <w:t>and across all eight common gardens</w:t>
      </w:r>
      <w:r w:rsidR="001A47B0">
        <w:rPr>
          <w:i/>
          <w:iCs/>
        </w:rPr>
        <w:t xml:space="preserve"> (green)</w:t>
      </w:r>
      <w:r w:rsidR="007E4C5F">
        <w:rPr>
          <w:i/>
          <w:iCs/>
        </w:rPr>
        <w:t>, within and between two genetic subpopulations</w:t>
      </w:r>
    </w:p>
    <w:p w14:paraId="7AE69B1E" w14:textId="028762A6" w:rsidR="0078762E" w:rsidRDefault="002C4F58" w:rsidP="002A616B">
      <w:pPr>
        <w:ind w:firstLine="720"/>
      </w:pPr>
      <w:r>
        <w:t>Though w</w:t>
      </w:r>
      <w:r w:rsidR="007C5A21">
        <w:t xml:space="preserve">e </w:t>
      </w:r>
      <w:r w:rsidR="00177EE0">
        <w:t>scored</w:t>
      </w:r>
      <w:r w:rsidR="007C5A21">
        <w:t xml:space="preserve"> </w:t>
      </w:r>
      <w:r w:rsidR="001D5AD0">
        <w:t xml:space="preserve">greenup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8E30F5">
        <w:rPr>
          <w:i/>
          <w:iCs/>
        </w:rPr>
        <w:t>cites</w:t>
      </w:r>
      <w:r w:rsidR="008E30F5">
        <w:t>)</w:t>
      </w:r>
      <w:r w:rsidR="007C5A21">
        <w:t xml:space="preserve">. To evaluate these cues as genetic triggers of flowering, we defined </w:t>
      </w:r>
      <w:r w:rsidR="00741398">
        <w:t xml:space="preserve">greenup and </w:t>
      </w:r>
      <w:r w:rsidR="007C5A21">
        <w:t>flowering as functions of nine environmental cues</w:t>
      </w:r>
      <w:r>
        <w:t>,</w:t>
      </w:r>
      <w:r w:rsidR="007C5A21">
        <w:t xml:space="preserve"> then determined the narrow-sense heritabilities for these </w:t>
      </w:r>
      <w:r w:rsidR="00741398">
        <w:t>phenology</w:t>
      </w:r>
      <w:r w:rsidR="007C5A21">
        <w:t xml:space="preserve">-related traits across our eight common garden sites. We reasoned that if a flowering trait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w:t>
      </w:r>
      <w:r w:rsidR="001D5AD0">
        <w:lastRenderedPageBreak/>
        <w:t>that different subpopulations had different cues, we also determined h</w:t>
      </w:r>
      <w:r w:rsidR="001D5AD0">
        <w:rPr>
          <w:vertAlign w:val="superscript"/>
        </w:rPr>
        <w:t>2</w:t>
      </w:r>
      <w:r w:rsidR="001D5AD0">
        <w:t xml:space="preserve"> both within and across the Midwestern and Gulf subpopulations.</w:t>
      </w:r>
    </w:p>
    <w:p w14:paraId="66D11D88" w14:textId="1206FE77" w:rsidR="00D1751F" w:rsidRDefault="00D1751F" w:rsidP="002A616B">
      <w:pPr>
        <w:ind w:firstLine="720"/>
      </w:pPr>
    </w:p>
    <w:p w14:paraId="1561983B" w14:textId="337918D7" w:rsidR="00BD017F" w:rsidRDefault="00BD017F" w:rsidP="002A616B">
      <w:pPr>
        <w:ind w:firstLine="720"/>
      </w:pPr>
      <w:r>
        <w:t xml:space="preserve">Within each of the eight common gardens, </w:t>
      </w:r>
      <w:r w:rsidR="00FC3D95">
        <w:t>flowering as a function of Julian date had very high heritability (Supplementary Figure). Flowering as functions of other weather variables did have higher heritabilities for some sites, though these effects were not consistent across sites or subpopulations. In SD</w:t>
      </w:r>
      <w:r w:rsidR="00120602">
        <w:t xml:space="preserve"> and MI</w:t>
      </w:r>
      <w:r w:rsidR="00FC3D95">
        <w:t>, the Gulf subpopulation had higher h</w:t>
      </w:r>
      <w:r w:rsidR="00FC3D95">
        <w:rPr>
          <w:vertAlign w:val="superscript"/>
        </w:rPr>
        <w:t>2</w:t>
      </w:r>
      <w:r w:rsidR="00FC3D95">
        <w:t xml:space="preserve"> for daylength change</w:t>
      </w:r>
      <w:r w:rsidR="00120602">
        <w:t xml:space="preserve"> than for Julian date. In NE, the Gulf subpopulation had higher h</w:t>
      </w:r>
      <w:r w:rsidR="00120602">
        <w:rPr>
          <w:vertAlign w:val="superscript"/>
        </w:rPr>
        <w:t>2</w:t>
      </w:r>
      <w:r w:rsidR="00120602">
        <w:t xml:space="preserve"> for rainfall on the day of flowering than for any other metric. At TX3, the Gulf subpopulation had higher h</w:t>
      </w:r>
      <w:r w:rsidR="00120602">
        <w:rPr>
          <w:vertAlign w:val="superscript"/>
        </w:rPr>
        <w:t>2</w:t>
      </w:r>
      <w:r w:rsidR="00120602">
        <w:t xml:space="preserve"> for rainfall between greenup and flowering, while daylength had higher h</w:t>
      </w:r>
      <w:r w:rsidR="00120602">
        <w:rPr>
          <w:vertAlign w:val="superscript"/>
        </w:rPr>
        <w:t>2</w:t>
      </w:r>
      <w:r w:rsidR="00120602">
        <w:t xml:space="preserve"> at TX1. Across both subpopulations, daylength change had higher heritability at SD, MI, NE, MO, OK, and TX3, while rainfall on the day of flowering had higher h</w:t>
      </w:r>
      <w:r w:rsidR="00120602">
        <w:rPr>
          <w:vertAlign w:val="superscript"/>
        </w:rPr>
        <w:t>2</w:t>
      </w:r>
      <w:r w:rsidR="00120602">
        <w:t xml:space="preserve"> for NE and MO, and daylength had higher h</w:t>
      </w:r>
      <w:r w:rsidR="00120602">
        <w:rPr>
          <w:vertAlign w:val="superscript"/>
        </w:rPr>
        <w:t>2</w:t>
      </w:r>
      <w:r w:rsidR="00120602">
        <w:t xml:space="preserve"> at TX1. </w:t>
      </w:r>
      <w:r w:rsidR="00727B03">
        <w:t>These single- or few-site h</w:t>
      </w:r>
      <w:r w:rsidR="00727B03">
        <w:rPr>
          <w:vertAlign w:val="superscript"/>
        </w:rPr>
        <w:t>2</w:t>
      </w:r>
      <w:r w:rsidR="00727B03">
        <w:t xml:space="preserve"> could reflect genotype-by-environment interactions, in that only these sites had environmental cues that plants exhibited variable responses to.</w:t>
      </w:r>
    </w:p>
    <w:p w14:paraId="63C6629E" w14:textId="319C83BE" w:rsidR="008F7A3E" w:rsidRDefault="00547E2C" w:rsidP="007500CC">
      <w:pPr>
        <w:ind w:firstLine="720"/>
      </w:pPr>
      <w:r>
        <w:t xml:space="preserve">Within each of the eight common gardens, greenup also generally had high heritability, except at NE and OK. Greenup as functions of other weather variables had higher heritabilities than Julian date for very few instances – for GDD for 10 days, 18 days, and from January to greenup for the Gulf for MO, and for GDD and min T for 18 days for the Gulf for SD, and GDD 10d minT18d for the Midwest for MO, and GDD at 10d and 18d for both subpops together at MO. </w:t>
      </w:r>
      <w:r w:rsidR="00FC3D95">
        <w:rPr>
          <w:noProof/>
        </w:rPr>
        <w:drawing>
          <wp:anchor distT="0" distB="0" distL="114300" distR="114300" simplePos="0" relativeHeight="251684864" behindDoc="0" locked="0" layoutInCell="1" allowOverlap="1" wp14:anchorId="2C2523C9" wp14:editId="58D23CBA">
            <wp:simplePos x="0" y="0"/>
            <wp:positionH relativeFrom="margin">
              <wp:posOffset>-635</wp:posOffset>
            </wp:positionH>
            <wp:positionV relativeFrom="paragraph">
              <wp:posOffset>1707515</wp:posOffset>
            </wp:positionV>
            <wp:extent cx="4186555" cy="3101340"/>
            <wp:effectExtent l="0" t="0" r="4445" b="381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2_GR_and_FL_site_weather_functions_All_Si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6555" cy="3101340"/>
                    </a:xfrm>
                    <a:prstGeom prst="rect">
                      <a:avLst/>
                    </a:prstGeom>
                  </pic:spPr>
                </pic:pic>
              </a:graphicData>
            </a:graphic>
            <wp14:sizeRelH relativeFrom="margin">
              <wp14:pctWidth>0</wp14:pctWidth>
            </wp14:sizeRelH>
            <wp14:sizeRelV relativeFrom="margin">
              <wp14:pctHeight>0</wp14:pctHeight>
            </wp14:sizeRelV>
          </wp:anchor>
        </w:drawing>
      </w:r>
      <w:r w:rsidR="008F7A3E">
        <w:t>Across all eight common gardens, g</w:t>
      </w:r>
      <w:r w:rsidR="0078762E">
        <w:t xml:space="preserve">reenup </w:t>
      </w:r>
      <w:r w:rsidR="002C4F58">
        <w:t xml:space="preserve">as a </w:t>
      </w:r>
      <w:r w:rsidR="00177EE0">
        <w:t xml:space="preserve">function of </w:t>
      </w:r>
      <w:r w:rsidR="002C4F58">
        <w:t>Julian date</w:t>
      </w:r>
      <w:r w:rsidR="0078762E">
        <w:t xml:space="preserve"> had </w:t>
      </w:r>
      <w:r w:rsidR="008F7A3E">
        <w:t>very</w:t>
      </w:r>
      <w:r w:rsidR="0078762E">
        <w:t xml:space="preserve"> low heritability </w:t>
      </w:r>
      <w:r w:rsidR="002C4F58">
        <w:t xml:space="preserve">within subpopulations </w:t>
      </w:r>
      <w:r w:rsidR="0078762E">
        <w:t>(0.005 +/- 0.003 Gulf; 0.021 +/0 0.011 for Midwest)</w:t>
      </w:r>
      <w:r w:rsidR="002C4F58">
        <w:t xml:space="preserve"> </w:t>
      </w:r>
      <w:r w:rsidR="008F7A3E">
        <w:t xml:space="preserve">and </w:t>
      </w:r>
      <w:r w:rsidR="001D1108">
        <w:t>across both</w:t>
      </w:r>
      <w:r w:rsidR="002C4F58">
        <w:t xml:space="preserve"> subpopulations (</w:t>
      </w:r>
      <w:r w:rsidR="007500CC">
        <w:t>h</w:t>
      </w:r>
      <w:r w:rsidR="007500CC">
        <w:rPr>
          <w:vertAlign w:val="superscript"/>
        </w:rPr>
        <w:t>2</w:t>
      </w:r>
      <w:r w:rsidR="007500CC">
        <w:t xml:space="preserve"> = </w:t>
      </w:r>
      <w:r w:rsidR="002C4F58">
        <w:t>0.</w:t>
      </w:r>
      <w:r w:rsidR="008F7A3E">
        <w:t>004</w:t>
      </w:r>
      <w:r w:rsidR="002C4F58">
        <w:t xml:space="preserve"> +/- 0.00</w:t>
      </w:r>
      <w:r w:rsidR="008F7A3E">
        <w:t>3</w:t>
      </w:r>
      <w:r w:rsidR="002C4F58">
        <w:t xml:space="preserve">). </w:t>
      </w:r>
      <w:r w:rsidR="008F7A3E">
        <w:t>In the Gulf subpopulation, GDD 10 days before greenup had the highest heritability for greenup (h</w:t>
      </w:r>
      <w:r w:rsidR="008F7A3E">
        <w:rPr>
          <w:vertAlign w:val="superscript"/>
        </w:rPr>
        <w:t xml:space="preserve">2 </w:t>
      </w:r>
      <w:r w:rsidR="008F7A3E">
        <w:t>= 0.074 +/- 0.024), followed by the average minimum temperature for the 10 days prior to greenup (h</w:t>
      </w:r>
      <w:r w:rsidR="008F7A3E">
        <w:rPr>
          <w:vertAlign w:val="superscript"/>
        </w:rPr>
        <w:t>2</w:t>
      </w:r>
      <w:r w:rsidR="008F7A3E">
        <w:t xml:space="preserve"> = 0.065 +/- 0.022). In the Midwestern subpop</w:t>
      </w:r>
      <w:r w:rsidR="00321513">
        <w:t>ulation</w:t>
      </w:r>
      <w:r w:rsidR="008F7A3E">
        <w:t xml:space="preserve">, the average minimum temperature </w:t>
      </w:r>
      <w:r w:rsidR="00321513">
        <w:t>in the 10 days prior to greenup had the highest heritability (h</w:t>
      </w:r>
      <w:r w:rsidR="00321513">
        <w:rPr>
          <w:vertAlign w:val="superscript"/>
        </w:rPr>
        <w:t>2</w:t>
      </w:r>
      <w:r w:rsidR="00321513">
        <w:t xml:space="preserve"> = 0.058 +/- 0.027). Across both subpopulations, both cumulative GDD 10 days before greenup and the average minimum temperature for the 10 </w:t>
      </w:r>
      <w:r w:rsidR="003B275E">
        <w:t>days</w:t>
      </w:r>
      <w:r w:rsidR="00321513">
        <w:t xml:space="preserve"> prior to greenup had higher </w:t>
      </w:r>
      <w:r w:rsidR="00321513">
        <w:lastRenderedPageBreak/>
        <w:t>heritabilities than Julian date (h</w:t>
      </w:r>
      <w:r w:rsidR="00321513">
        <w:rPr>
          <w:vertAlign w:val="superscript"/>
        </w:rPr>
        <w:t>2</w:t>
      </w:r>
      <w:r w:rsidR="00321513">
        <w:t xml:space="preserve"> = 0.037 +/- 0.014; 0.036 +/- 0.014). </w:t>
      </w:r>
      <w:r>
        <w:t xml:space="preserve">However, heritability estimates were much higher for greenup when the sites were restricted to either Texas or the Northern four sites (Supplemental Figure). Interestingly, greenup as a function of Julian date still had the highest heritability, but the temperature measures we used had similar heritabilities for the Midwest subpopulation in Texas, and for the Gulf subpopulation in </w:t>
      </w:r>
      <w:r w:rsidR="002229F9">
        <w:t>the North. This result likely indicates that the weather functions we chose are only cuing greenup outside of each subpopulation’s natural range. Additional signals such as soil temperatures or chilling days may influence greenup for each subpopulation within its native range; however, we did not have good proxies for these values for this experiment.</w:t>
      </w:r>
    </w:p>
    <w:p w14:paraId="6D9D66EA" w14:textId="430B1A43" w:rsidR="007500CC" w:rsidRDefault="002C4F58" w:rsidP="007500CC">
      <w:pPr>
        <w:ind w:firstLine="720"/>
      </w:pPr>
      <w:r>
        <w:t xml:space="preserve">In contrast, flowering as a Julian date had </w:t>
      </w:r>
      <w:r w:rsidR="001D1108">
        <w:t>moderate heritability within subpopulations (</w:t>
      </w:r>
      <w:r w:rsidR="007500CC">
        <w:t>h</w:t>
      </w:r>
      <w:r w:rsidR="007500CC">
        <w:rPr>
          <w:vertAlign w:val="superscript"/>
        </w:rPr>
        <w:t>2</w:t>
      </w:r>
      <w:r w:rsidR="007500CC">
        <w:t xml:space="preserve"> = </w:t>
      </w:r>
      <w:r w:rsidR="001D1108">
        <w:t xml:space="preserve">0.19 +/- 0.061 Gulf; 0.097 +/- 0.045 Midwest) and </w:t>
      </w:r>
      <w:r w:rsidR="008F7A3E">
        <w:t>moderate</w:t>
      </w:r>
      <w:r w:rsidR="001D1108">
        <w:t xml:space="preserve"> heritability across both subpopulations (</w:t>
      </w:r>
      <w:r w:rsidR="007500CC">
        <w:t>h</w:t>
      </w:r>
      <w:r w:rsidR="007500CC">
        <w:rPr>
          <w:vertAlign w:val="superscript"/>
        </w:rPr>
        <w:t>2</w:t>
      </w:r>
      <w:r w:rsidR="007500CC">
        <w:t xml:space="preserve"> = </w:t>
      </w:r>
      <w:r w:rsidR="001D1108">
        <w:t>0</w:t>
      </w:r>
      <w:r w:rsidR="008F7A3E">
        <w:t>.18</w:t>
      </w:r>
      <w:r w:rsidR="001D1108">
        <w:t xml:space="preserve"> +/- 0.0</w:t>
      </w:r>
      <w:r w:rsidR="008F7A3E">
        <w:t>61</w:t>
      </w:r>
      <w:r w:rsidR="00321513">
        <w:t>).</w:t>
      </w:r>
      <w:r w:rsidR="001D1108">
        <w:rPr>
          <w:i/>
          <w:iCs/>
        </w:rPr>
        <w:t xml:space="preserve"> </w:t>
      </w:r>
      <w:r w:rsidR="007500CC">
        <w:t>For the Gulf subpopulation, daylength (h</w:t>
      </w:r>
      <w:r w:rsidR="007500CC">
        <w:rPr>
          <w:vertAlign w:val="superscript"/>
        </w:rPr>
        <w:t>2</w:t>
      </w:r>
      <w:r w:rsidR="007500CC">
        <w:t xml:space="preserve"> = 0.336 +/- 0.073) was the only cue that had higher heritability than Julian date. Two environmental functions had higher heritabilities than Julian date for the Midwestern subpopulation: cumulative GDD (h</w:t>
      </w:r>
      <w:r w:rsidR="007500CC">
        <w:rPr>
          <w:vertAlign w:val="superscript"/>
        </w:rPr>
        <w:t>2</w:t>
      </w:r>
      <w:r w:rsidR="007500CC">
        <w:t xml:space="preserve"> = 0.368 +/- 0.052) and daylength (h</w:t>
      </w:r>
      <w:r w:rsidR="007500CC">
        <w:rPr>
          <w:vertAlign w:val="superscript"/>
        </w:rPr>
        <w:t>2</w:t>
      </w:r>
      <w:r w:rsidR="007500CC">
        <w:t xml:space="preserve"> = 0.144 +/- 0.052).</w:t>
      </w:r>
      <w:r w:rsidR="00321513">
        <w:t xml:space="preserve"> Across both subpopulations, both daylength and cumulative GDD had higher heritabilities than Julian date (0.287 +/- 0.032; 0.201 +/- 0.041). </w:t>
      </w:r>
    </w:p>
    <w:p w14:paraId="3D48899C" w14:textId="04ABBA23" w:rsidR="00741E58" w:rsidRDefault="006B4FBE" w:rsidP="00973DCA">
      <w:pPr>
        <w:ind w:firstLine="720"/>
      </w:pPr>
      <w:r>
        <w:t xml:space="preserve">If flowering date </w:t>
      </w:r>
      <w:r w:rsidR="00C11F7F">
        <w:t>frequently varies as</w:t>
      </w:r>
      <w:r>
        <w:t xml:space="preserve"> a function of GDD in switchgrass, this </w:t>
      </w:r>
      <w:r w:rsidR="002A25F9">
        <w:t>explains</w:t>
      </w:r>
      <w:r>
        <w:t xml:space="preserve"> observations that moving southern populations northwards delays flowering, and moving northern populations south hastens flowering (Sanderson et al 1996).</w:t>
      </w:r>
      <w:r w:rsidR="000E5790">
        <w:t xml:space="preserve"> Indeed, in </w:t>
      </w:r>
      <w:r w:rsidR="00911047">
        <w:t>our common gardens in 2019</w:t>
      </w:r>
      <w:r w:rsidR="000E5790">
        <w:t xml:space="preserve">, the average number of days from greenup to flowering </w:t>
      </w:r>
      <w:r w:rsidR="00846418">
        <w:t xml:space="preserve">for the Midwest subpopulation was </w:t>
      </w:r>
      <w:r w:rsidR="0091743B">
        <w:t>2</w:t>
      </w:r>
      <w:r w:rsidR="001B1D8C">
        <w:t>7</w:t>
      </w:r>
      <w:r w:rsidR="00846418">
        <w:t xml:space="preserve"> days shorter at our southernmost </w:t>
      </w:r>
      <w:r w:rsidR="0091743B">
        <w:t>site than our northernmost site</w:t>
      </w:r>
      <w:r w:rsidR="00F46AC8">
        <w:t xml:space="preserve"> (55d vs 82d)</w:t>
      </w:r>
      <w:r w:rsidR="0091743B">
        <w:t>,</w:t>
      </w:r>
      <w:r w:rsidR="001B1D8C">
        <w:t xml:space="preserve"> while this value was 26 days longer for the Gulf subpopulation at the southernmost site than at the northernmost site</w:t>
      </w:r>
      <w:r w:rsidR="00F46AC8">
        <w:t xml:space="preserve"> (130d vs 104d)</w:t>
      </w:r>
      <w:r w:rsidR="00450BC4">
        <w:t xml:space="preserve">. </w:t>
      </w:r>
      <w:r w:rsidR="00131685">
        <w:t>To explore this further, w</w:t>
      </w:r>
      <w:r>
        <w:t xml:space="preserve">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 xml:space="preserve">ered </w:t>
      </w:r>
      <w:r w:rsidR="00131685">
        <w:t>only</w:t>
      </w:r>
      <w:r w:rsidR="00F1128C">
        <w:t xml:space="preserve"> slightly in GDD (1008 vs 1090</w:t>
      </w:r>
      <w:r w:rsidR="002A25F9">
        <w:t>, *statistically significant</w:t>
      </w:r>
      <w:r w:rsidR="00F1128C">
        <w:t>).</w:t>
      </w:r>
      <w:r w:rsidR="00C94C15">
        <w:t xml:space="preserve"> </w:t>
      </w:r>
      <w:r w:rsidR="00BA245F">
        <w:t>Taken together</w:t>
      </w:r>
      <w:r w:rsidR="00741E58">
        <w:t>,</w:t>
      </w:r>
      <w:r w:rsidR="00BA245F">
        <w:t xml:space="preserve"> these data support</w:t>
      </w:r>
      <w:r w:rsidR="007500CC">
        <w:t xml:space="preserve"> a</w:t>
      </w:r>
      <w:r w:rsidR="00BA245F">
        <w:t xml:space="preserve"> </w:t>
      </w:r>
      <w:r w:rsidR="000B6138">
        <w:t xml:space="preserve">latitude-of-origin </w:t>
      </w:r>
      <w:r w:rsidR="00BA245F">
        <w:t xml:space="preserve">based, low </w:t>
      </w:r>
      <w:r w:rsidR="00741E58">
        <w:t>GDD cue for flowering</w:t>
      </w:r>
      <w:r w:rsidR="00BA245F">
        <w:t xml:space="preserve"> in the Midwest subpopulation, a</w:t>
      </w:r>
      <w:r w:rsidR="007500CC">
        <w:t>nd a</w:t>
      </w:r>
      <w:r w:rsidR="00BA245F">
        <w:t xml:space="preserve"> consistent, high GDD cue for flowering in the Gulf subpopulation that is superseded by a </w:t>
      </w:r>
      <w:r w:rsidR="00741E58">
        <w:t xml:space="preserve">photoperiod </w:t>
      </w:r>
      <w:r w:rsidR="007500CC">
        <w:t>cue.</w:t>
      </w:r>
      <w:r w:rsidR="00412A1F">
        <w:t xml:space="preserve"> </w:t>
      </w:r>
      <w:r w:rsidR="00607891">
        <w:t xml:space="preserve">They also suggest the presence of GxE for rainfall and photoperiod cues. </w:t>
      </w:r>
    </w:p>
    <w:p w14:paraId="74906400" w14:textId="77777777" w:rsidR="00607891" w:rsidRDefault="00607891" w:rsidP="00973DCA">
      <w:pPr>
        <w:ind w:firstLine="720"/>
      </w:pPr>
    </w:p>
    <w:p w14:paraId="3D629151" w14:textId="19C4FAD7" w:rsidR="007500CC" w:rsidRDefault="004A5825" w:rsidP="007500CC">
      <w:pPr>
        <w:rPr>
          <w:i/>
          <w:iCs/>
        </w:rPr>
      </w:pPr>
      <w:r>
        <w:rPr>
          <w:i/>
          <w:iCs/>
        </w:rPr>
        <w:t>Genetic effects of</w:t>
      </w:r>
      <w:r w:rsidR="00020495">
        <w:rPr>
          <w:i/>
          <w:iCs/>
        </w:rPr>
        <w:t xml:space="preserve"> greenup and flowering as functions of environmental cues</w:t>
      </w:r>
    </w:p>
    <w:p w14:paraId="1C1F1F16" w14:textId="014A5860" w:rsidR="00177EE0" w:rsidRDefault="00177EE0" w:rsidP="007500CC">
      <w:r>
        <w:tab/>
        <w:t>We next evaluated</w:t>
      </w:r>
      <w:r w:rsidR="008945E9">
        <w:t xml:space="preserve"> genetic associations for flowering</w:t>
      </w:r>
      <w:r w:rsidR="003B3194">
        <w:t xml:space="preserve"> as functions of daylength at flowering and GDD between greenup and flowering. To do this, we calculated BLUPs </w:t>
      </w:r>
      <w:r w:rsidR="00BE6B8D">
        <w:t>for each individual</w:t>
      </w:r>
      <w:r w:rsidR="002531BE">
        <w:t xml:space="preserve"> </w:t>
      </w:r>
      <w:r w:rsidR="00BE6B8D">
        <w:t>using</w:t>
      </w:r>
      <w:r w:rsidR="004A5825">
        <w:t xml:space="preserve"> mixed model</w:t>
      </w:r>
      <w:r w:rsidR="00BE6B8D">
        <w:t>s</w:t>
      </w:r>
      <w:r w:rsidR="004A5825">
        <w:t xml:space="preserve"> with</w:t>
      </w:r>
      <w:r w:rsidR="003B3194">
        <w:t xml:space="preserve"> </w:t>
      </w:r>
      <w:r w:rsidR="002531BE">
        <w:t>common garden</w:t>
      </w:r>
      <w:r w:rsidR="003B3194">
        <w:t xml:space="preserve"> and </w:t>
      </w:r>
      <w:r w:rsidR="004A5825">
        <w:t>a</w:t>
      </w:r>
      <w:r w:rsidR="003B3194">
        <w:t xml:space="preserve"> kinship matrix as random effects. We then conducted genome-wide association on these BLUPs both within and between genetic subpopulations.</w:t>
      </w:r>
    </w:p>
    <w:p w14:paraId="1C2D0FA1" w14:textId="77777777" w:rsidR="000E0B41" w:rsidRDefault="000E0B41" w:rsidP="007500CC"/>
    <w:p w14:paraId="4F767B5D" w14:textId="40010CAE" w:rsidR="003B3194" w:rsidRPr="008862B4" w:rsidRDefault="008862B4" w:rsidP="007500CC">
      <w:r>
        <w:lastRenderedPageBreak/>
        <w:t>Because no greenup cue as a function of weather had h</w:t>
      </w:r>
      <w:r>
        <w:rPr>
          <w:vertAlign w:val="superscript"/>
        </w:rPr>
        <w:t>2</w:t>
      </w:r>
      <w:r>
        <w:t xml:space="preserve"> &gt; 10% across all sites, we did not evaluate genetic effects of greenup</w:t>
      </w:r>
      <w:r w:rsidR="002229F9">
        <w:t xml:space="preserve"> across all sites</w:t>
      </w:r>
      <w:r>
        <w:t xml:space="preserve">. Rather, we focused on </w:t>
      </w:r>
      <w:r w:rsidR="007749EF">
        <w:t xml:space="preserve">genetic effects at the Texas sites and at the Northern four sites, and on </w:t>
      </w:r>
      <w:r>
        <w:t>genotype by environment effects of SNPs on greenup.</w:t>
      </w:r>
    </w:p>
    <w:p w14:paraId="16E29CD1" w14:textId="77777777" w:rsidR="008862B4" w:rsidRDefault="008862B4" w:rsidP="007500CC"/>
    <w:p w14:paraId="24A1D011" w14:textId="25E99E21" w:rsidR="004A5825" w:rsidRPr="004A5825" w:rsidRDefault="004A5825" w:rsidP="007500CC">
      <w:pPr>
        <w:rPr>
          <w:i/>
          <w:iCs/>
        </w:rPr>
      </w:pPr>
      <w:r w:rsidRPr="004A5825">
        <w:rPr>
          <w:i/>
          <w:iCs/>
        </w:rPr>
        <w:t>Genotype-by-environment effects of flowering as functions of environmental cues</w:t>
      </w:r>
    </w:p>
    <w:p w14:paraId="10B3767B" w14:textId="26F41215" w:rsidR="003B3194" w:rsidRPr="00177EE0" w:rsidRDefault="003B3194" w:rsidP="007500CC">
      <w:r>
        <w:tab/>
        <w:t>We next evaluated the genotype by environment effects of flowering as a function of daylength at flowering and GDD between greenup and flowering. To do this, we conducted univariate GWAS for flowering at each common garden</w:t>
      </w:r>
      <w:r w:rsidR="00607891">
        <w:t xml:space="preserve"> as functions of Julian date, photoperiod, temperature, and rainfall</w:t>
      </w:r>
      <w:r>
        <w:t>, then analyzed the allelic effects of unlinked SNPs across common garden sites for the top XK SNPs using mash</w:t>
      </w:r>
      <w:r w:rsidR="002C0566">
        <w:t>, both within and between genetic subpopulations</w:t>
      </w:r>
      <w:r>
        <w:t xml:space="preserve">. </w:t>
      </w:r>
    </w:p>
    <w:p w14:paraId="043EF42E" w14:textId="77777777" w:rsidR="003B3194" w:rsidRDefault="003B3194" w:rsidP="00020495">
      <w:pPr>
        <w:ind w:firstLine="720"/>
        <w:rPr>
          <w:i/>
          <w:iCs/>
        </w:rPr>
      </w:pPr>
    </w:p>
    <w:p w14:paraId="6D5294F0" w14:textId="77777777" w:rsidR="00020495" w:rsidRPr="007500CC" w:rsidRDefault="00020495" w:rsidP="007500CC">
      <w:pPr>
        <w:rPr>
          <w:i/>
          <w:iCs/>
        </w:rPr>
      </w:pPr>
    </w:p>
    <w:p w14:paraId="7E3B6A6A" w14:textId="740912DD" w:rsidR="00F4170F" w:rsidRPr="00F4170F" w:rsidRDefault="004A5825">
      <w:pPr>
        <w:rPr>
          <w:i/>
          <w:iCs/>
        </w:rPr>
      </w:pPr>
      <w:r>
        <w:rPr>
          <w:i/>
          <w:iCs/>
        </w:rPr>
        <w:t>Confirmation of genetic and genotype-by environment effects using a f</w:t>
      </w:r>
      <w:r w:rsidR="00F4170F">
        <w:rPr>
          <w:i/>
          <w:iCs/>
        </w:rPr>
        <w:t xml:space="preserve">ourway cross </w:t>
      </w:r>
    </w:p>
    <w:p w14:paraId="14152C8A" w14:textId="1CE76B50"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gardens and</w:t>
      </w:r>
      <w:r w:rsidR="002E3A05">
        <w:t xml:space="preserve"> </w:t>
      </w:r>
      <w:r w:rsidR="002A25F9">
        <w:t>had heritable variation for flowering</w:t>
      </w:r>
      <w:r w:rsidR="002E3A05">
        <w:t xml:space="preserve"> in response to two distinct environmental cues</w:t>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greenup and flowering dat</w:t>
      </w:r>
      <w:r w:rsidR="00BF7FD8">
        <w:t>e</w:t>
      </w:r>
      <w:r w:rsidR="00092A16">
        <w:t xml:space="preserve"> every three days</w:t>
      </w:r>
      <w:r w:rsidR="00950031">
        <w:t xml:space="preserve"> for the 2016-2019 seasons</w:t>
      </w:r>
      <w:r w:rsidR="00D53A1E">
        <w:t>.</w:t>
      </w:r>
    </w:p>
    <w:p w14:paraId="15133EDB" w14:textId="7D6FD85D"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D53A1E">
        <w:t>.</w:t>
      </w:r>
      <w:r w:rsidR="0047633C">
        <w:t xml:space="preserve">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subpopulation</w:t>
      </w:r>
      <w:r w:rsidR="00406FA1">
        <w:t xml:space="preserve">. </w:t>
      </w:r>
    </w:p>
    <w:p w14:paraId="472626CD" w14:textId="52C8F234" w:rsidR="0047633C" w:rsidRDefault="00113FD9" w:rsidP="0047633C">
      <w:r w:rsidRPr="0047633C">
        <w:rPr>
          <w:i/>
          <w:iCs/>
          <w:noProof/>
        </w:rPr>
        <w:lastRenderedPageBreak/>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123528BD"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r w:rsidR="00872127">
        <w:t xml:space="preserve">greenup and flowering </w:t>
      </w:r>
      <w:r>
        <w:t>in</w:t>
      </w:r>
      <w:r w:rsidR="00872127">
        <w:t xml:space="preserve"> 2019 for seven fourway sites. </w:t>
      </w:r>
      <w:r w:rsidR="0008173C">
        <w:t xml:space="preserve">We analyzed the flowering phenotype in two ways: as a function of Julian date (‘flowering date’), and as a function of cumulative GDD between greenup and flowering (‘flowering GDD’). </w:t>
      </w:r>
      <w:r w:rsidR="00872127">
        <w:t>There were no significant QTL for greenup.</w:t>
      </w:r>
      <w:r>
        <w:t xml:space="preserve"> There were eight QTL for flowering date; the largest QTL were on Chr02N, Chr04K, and Chr05N</w:t>
      </w:r>
      <w:r w:rsidR="005A0A1B">
        <w:t xml:space="preserve"> (Figure 4)</w:t>
      </w:r>
      <w:r>
        <w:t xml:space="preserve">. </w:t>
      </w:r>
      <w:r w:rsidR="0008173C">
        <w:t xml:space="preserve">There were </w:t>
      </w:r>
      <w:r w:rsidR="00674F1D">
        <w:t>five</w:t>
      </w:r>
      <w:r w:rsidR="0008173C">
        <w:t xml:space="preserve"> QTL for flowering GDD, all of which overlapped with QTL for flowering date.</w:t>
      </w:r>
      <w:r w:rsidR="005A0A1B">
        <w:t xml:space="preserve"> 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w:t>
      </w:r>
      <w:r w:rsidR="00892794">
        <w:t>5N, on Chr08N and Chr09K were</w:t>
      </w:r>
      <w:r w:rsidR="00883C70">
        <w:t xml:space="preserve">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48C630A6" w:rsidR="002A0403" w:rsidRDefault="002A0403" w:rsidP="00DC1F5D">
      <w:pPr>
        <w:ind w:firstLine="720"/>
      </w:pPr>
      <w:r>
        <w:t xml:space="preserve">All eight QTL </w:t>
      </w:r>
      <w:r w:rsidR="00892794">
        <w:t xml:space="preserve">for flowering date </w:t>
      </w:r>
      <w:r>
        <w:t xml:space="preserve">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AxB,</w:t>
      </w:r>
      <w:r w:rsidR="005D4CBB">
        <w:t xml:space="preserve"> at </w:t>
      </w:r>
      <w:r w:rsidR="000C3919">
        <w:t>TX2</w:t>
      </w:r>
      <w:r w:rsidR="005D4CBB">
        <w:t xml:space="preserve">, five of eight lowland alleles delayed flowering date. In the CxD cross at </w:t>
      </w:r>
      <w:r w:rsidR="00AE38E9">
        <w:t>TX2</w:t>
      </w:r>
      <w:r w:rsidR="005D4CBB">
        <w:t>, four of eight lowland alleles delayed flowering date – four of the same five regions that delayed flowering date in the AxB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site</w:t>
      </w:r>
      <w:r w:rsidR="00855134">
        <w:t xml:space="preserve"> by </w:t>
      </w:r>
      <w:r w:rsidR="00855134">
        <w:lastRenderedPageBreak/>
        <w:t>QTL combinations for the AxB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site</w:t>
      </w:r>
      <w:r w:rsidR="00855134">
        <w:t xml:space="preserve"> by QTL combinations for the </w:t>
      </w:r>
      <w:r w:rsidR="002059D6">
        <w:t xml:space="preserve">CxD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w:t>
      </w:r>
      <w:r w:rsidR="00CF2283">
        <w:t xml:space="preserve"> date</w:t>
      </w:r>
      <w:r w:rsidR="00AE5D08">
        <w:t xml:space="preserve"> in the Midwest subpopulation. </w:t>
      </w:r>
    </w:p>
    <w:p w14:paraId="1516F8FD" w14:textId="1D0F8FE1" w:rsidR="00FF3752" w:rsidRDefault="00D64DB5" w:rsidP="00E718A3">
      <w:pPr>
        <w:ind w:firstLine="720"/>
      </w:pPr>
      <w:r>
        <w:rPr>
          <w:noProof/>
        </w:rPr>
        <w:drawing>
          <wp:anchor distT="0" distB="0" distL="114300" distR="114300" simplePos="0" relativeHeight="251682816" behindDoc="0" locked="0" layoutInCell="1" allowOverlap="1" wp14:anchorId="6A8607B2" wp14:editId="2014E2AB">
            <wp:simplePos x="0" y="0"/>
            <wp:positionH relativeFrom="margin">
              <wp:posOffset>-635</wp:posOffset>
            </wp:positionH>
            <wp:positionV relativeFrom="paragraph">
              <wp:posOffset>6411595</wp:posOffset>
            </wp:positionV>
            <wp:extent cx="2164080" cy="1814830"/>
            <wp:effectExtent l="0" t="0" r="762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itability_7SI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4080" cy="1814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B1FFF9" wp14:editId="29EAE699">
            <wp:simplePos x="0" y="0"/>
            <wp:positionH relativeFrom="margin">
              <wp:align>right</wp:align>
            </wp:positionH>
            <wp:positionV relativeFrom="paragraph">
              <wp:posOffset>4104640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Pr>
          <w:noProof/>
        </w:rPr>
        <w:drawing>
          <wp:anchor distT="0" distB="0" distL="114300" distR="114300" simplePos="0" relativeHeight="251680768" behindDoc="0" locked="0" layoutInCell="1" allowOverlap="1" wp14:anchorId="79678337" wp14:editId="277188D9">
            <wp:simplePos x="0" y="0"/>
            <wp:positionH relativeFrom="margin">
              <wp:align>right</wp:align>
            </wp:positionH>
            <wp:positionV relativeFrom="paragraph">
              <wp:posOffset>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892794">
        <w:t>All f</w:t>
      </w:r>
      <w:r w:rsidR="00B91FBA">
        <w:t>ive</w:t>
      </w:r>
      <w:r w:rsidR="00143ED7">
        <w:t xml:space="preserve"> QTL for flowering GDD </w:t>
      </w:r>
      <w:r w:rsidR="00892794">
        <w:t xml:space="preserve">exhibited significant GxE between common garden sites. In the early flowering allele set, </w:t>
      </w:r>
      <w:r w:rsidR="00FF3752">
        <w:t>2</w:t>
      </w:r>
      <w:r w:rsidR="00E718A3">
        <w:t>7</w:t>
      </w:r>
      <w:r w:rsidR="00FF3752">
        <w:t xml:space="preserve"> AxB </w:t>
      </w:r>
      <w:r w:rsidR="00892794">
        <w:t xml:space="preserve">alleles </w:t>
      </w:r>
      <w:r w:rsidR="00FF3752">
        <w:t>accelerat</w:t>
      </w:r>
      <w:r w:rsidR="00892794">
        <w:t>ed</w:t>
      </w:r>
      <w:r w:rsidR="00FF3752">
        <w:t xml:space="preserve"> flowering by decreasing </w:t>
      </w:r>
      <w:r w:rsidR="00E718A3">
        <w:t>the</w:t>
      </w:r>
      <w:r w:rsidR="00FF3752">
        <w:t xml:space="preserve"> GDD</w:t>
      </w:r>
      <w:r w:rsidR="00E718A3">
        <w:t xml:space="preserve"> required for flowering, while 20</w:t>
      </w:r>
      <w:r w:rsidR="00FF3752">
        <w:t xml:space="preserve"> CxD</w:t>
      </w:r>
      <w:r w:rsidR="00450D52">
        <w:t xml:space="preserve"> </w:t>
      </w:r>
      <w:r w:rsidR="00E718A3">
        <w:t xml:space="preserve">alleles </w:t>
      </w:r>
      <w:r w:rsidR="00450D52">
        <w:t xml:space="preserve">accelerating </w:t>
      </w:r>
      <w:r w:rsidR="00E718A3">
        <w:t>flowering by decreasing GDD</w:t>
      </w:r>
      <w:r w:rsidR="00450D52">
        <w:t>.</w:t>
      </w:r>
      <w:r w:rsidR="00E718A3">
        <w:t xml:space="preserve"> No alleles delayed flowering at the northern five sites, but at TX2, four alleles accelerated flowering and two decelerated it in the AxB cross, while four accelerated it in the CxD cross. At TX1, two accelerated flowering by decreasing GDD requirements in the AxB cross, and two decelerated it, while only one allele accelerated flowering at TX1 in the CxD cross. In general, Kingsville (TX1) is a marked departure from the temperate climates of the other common gardens. Heritability for flowering was lowest at TX1 in the fourway cross (Supplementary Figure X), indicating a larger effect of environment on phenotypic variance at this site.</w:t>
      </w:r>
    </w:p>
    <w:p w14:paraId="1E628AE7" w14:textId="00B78FAD" w:rsidR="001F7232" w:rsidRDefault="001F7232" w:rsidP="00DC1F5D">
      <w:pPr>
        <w:ind w:firstLine="720"/>
      </w:pPr>
    </w:p>
    <w:p w14:paraId="707C7FC7" w14:textId="344BFD81" w:rsidR="00A94451" w:rsidRDefault="00A94451"/>
    <w:p w14:paraId="7DC2DE5A" w14:textId="1306ECB1" w:rsidR="00872127" w:rsidRDefault="00872127"/>
    <w:p w14:paraId="4EC0CAD2" w14:textId="67EA5833" w:rsidR="00AE5D08" w:rsidRDefault="00AE5D08"/>
    <w:p w14:paraId="6F95DF1F" w14:textId="639DA491" w:rsidR="00AE5D08" w:rsidRDefault="00AE5D08"/>
    <w:p w14:paraId="31BF35B4" w14:textId="0F7C0ADE" w:rsidR="00AE5D08" w:rsidRDefault="00AE5D08"/>
    <w:p w14:paraId="3A4C7CEA" w14:textId="38002EAD" w:rsidR="00DC1F5D" w:rsidRPr="00DC1F5D" w:rsidRDefault="00DC1F5D" w:rsidP="00DC1F5D">
      <w:pPr>
        <w:rPr>
          <w:i/>
          <w:iCs/>
        </w:rPr>
      </w:pPr>
      <w:r>
        <w:rPr>
          <w:i/>
          <w:iCs/>
        </w:rPr>
        <w:t>Genome wide association identifies candidates affecting flowering in fourway QTL intervals</w:t>
      </w:r>
    </w:p>
    <w:p w14:paraId="7D112311" w14:textId="300B3DBE" w:rsidR="00335591" w:rsidRDefault="00AE5D08" w:rsidP="00247A73">
      <w:pPr>
        <w:ind w:firstLine="720"/>
      </w:pPr>
      <w:r>
        <w:t xml:space="preserve">Though QTLs detected using the fourway cross are too coarse to be informative about gene identity by themselves, combining linkage and association mapping can outperform each method used in isolation (cite Brachi, others?). We therefore conducted GWAS on greenup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fourway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colocalized with one or more of the top 25 mash hits.</w:t>
      </w:r>
      <w:r w:rsidR="00866E58">
        <w:t xml:space="preserve"> Discussion of candidate genes, where they are in the QTL interval, what the effects look like in mash, what subpops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I don’t know how to tie genomic prediction in here. Ideally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Possible reasons why we didn’t find candidates in GWAS for other three QTL intervals: false negatives, type of allele shifts we are testing here vs the fourway, other things</w:t>
      </w:r>
    </w:p>
    <w:p w14:paraId="068CAB21" w14:textId="79D06B25" w:rsidR="00866E58" w:rsidRDefault="00866E58" w:rsidP="00866E58">
      <w:pPr>
        <w:pStyle w:val="ListParagraph"/>
        <w:numPr>
          <w:ilvl w:val="0"/>
          <w:numId w:val="2"/>
        </w:numPr>
      </w:pPr>
      <w:r>
        <w:t xml:space="preserve">And what are other types of region we can detect with GWAS that we couldn’t detect in our fourway? Particularly differences between Gulf alleles… maybe offer up Gulf specific </w:t>
      </w:r>
      <w:r>
        <w:lastRenderedPageBreak/>
        <w:t>GWAS/mash here. Or GWAS on any individual that is tetraploid and looks like it’s photoperiod sensitive – including some admixed and Atlantic individuals. As an idea.</w:t>
      </w:r>
    </w:p>
    <w:p w14:paraId="399F85D1" w14:textId="65452040"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5495332A" w14:textId="77777777" w:rsidR="00E76EE1" w:rsidRDefault="00E76EE1" w:rsidP="00E76EE1">
      <w:r>
        <w:t xml:space="preserve">Spring growth is initiated by “adequate temperature” according to McMillan and Weiler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0" w:name="_Hlk41465404"/>
      <w:r>
        <w:t xml:space="preserve"> (Madakadze et al 1998c; Sanderson and Wolf, 1995a, 1995b).</w:t>
      </w:r>
      <w:bookmarkEnd w:id="0"/>
      <w: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sidRPr="00E76EE1">
        <w:rPr>
          <w:i/>
          <w:iCs/>
        </w:rPr>
        <w:t>per se</w:t>
      </w:r>
      <w:r>
        <w:t xml:space="preserve"> that triggers spring growth (Parish and Fike 2005).</w:t>
      </w:r>
    </w:p>
    <w:p w14:paraId="7AD8C665" w14:textId="3A0CCBAE" w:rsidR="00E76EE1" w:rsidRPr="000B43C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Esbroeck et al 2003). Photoperiodicity likely 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789 diversity panel samples were resequenced at a median depth of 59x (range 20 – 140x). 630 samples were used for this analysis, after filtering for missing sequence or phenotype data, outlier heterozygousity scores, and collection site discrepancies. The reads were mapped to the V5 assembly using bwa-mem</w:t>
      </w:r>
      <w:r w:rsidR="00940202">
        <w:rPr>
          <w:vertAlign w:val="superscript"/>
        </w:rPr>
        <w:t>cite_bwa</w:t>
      </w:r>
      <w:r w:rsidR="00940202">
        <w:t xml:space="preserve">, and SNPs were called using </w:t>
      </w:r>
      <w:r w:rsidR="00940202" w:rsidRPr="00D42FFA">
        <w:t>SAMtools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Varscan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r w:rsidRPr="00D42FFA">
        <w:t>LSRFortessa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Environmental functions for greenup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Including these GDD response values substantially increased the residual variance for photoperiod sensitive individuals at these sites (data not shown//in supplement). Subpopulation explained most of the variation in flowering as a function of GDD (% Var</w:t>
      </w:r>
      <w:r>
        <w:rPr>
          <w:vertAlign w:val="subscript"/>
        </w:rPr>
        <w:t>subpop</w:t>
      </w:r>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switchgrassGWAS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switchgrassGWAS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r w:rsidRPr="002918DA">
        <w:rPr>
          <w:b/>
          <w:bCs/>
          <w:i/>
          <w:iCs/>
        </w:rPr>
        <w:t xml:space="preserve">Fourway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The formation of the fourway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T</w:t>
      </w:r>
      <w:r w:rsidRPr="009C6E61">
        <w:rPr>
          <w:rFonts w:eastAsiaTheme="minorEastAsia"/>
          <w:bCs/>
          <w:vertAlign w:val="subscript"/>
        </w:rPr>
        <w:t>base</w:t>
      </w:r>
      <w:r>
        <w:rPr>
          <w:rFonts w:eastAsiaTheme="minorEastAsia"/>
          <w:bCs/>
        </w:rPr>
        <w:t xml:space="preserve"> is the base temperature </w:t>
      </w:r>
      <w:r>
        <w:t xml:space="preserve">of 12 </w:t>
      </w:r>
      <w:r>
        <w:rPr>
          <w:rFonts w:cstheme="minorHAnsi"/>
        </w:rPr>
        <w:t>°</w:t>
      </w:r>
      <w:r>
        <w:t>C</w:t>
      </w:r>
      <w:r w:rsidRPr="00471AD0">
        <w:t xml:space="preserve"> </w:t>
      </w:r>
      <w:r>
        <w:t>for switchgrass (Kiniry et al 2005, Behrman 2013)</w:t>
      </w:r>
      <w:r>
        <w:rPr>
          <w:bCs/>
        </w:rPr>
        <w:t xml:space="preserve">. On a specific day, if </w:t>
      </w:r>
      <w:r>
        <w:rPr>
          <w:rFonts w:eastAsiaTheme="minorEastAsia"/>
          <w:bCs/>
        </w:rPr>
        <w:t>T</w:t>
      </w:r>
      <w:r w:rsidRPr="009C6E61">
        <w:rPr>
          <w:rFonts w:eastAsiaTheme="minorEastAsia"/>
          <w:bCs/>
          <w:vertAlign w:val="subscript"/>
        </w:rPr>
        <w:t>mean</w:t>
      </w:r>
      <w:r>
        <w:rPr>
          <w:bCs/>
        </w:rPr>
        <w:t xml:space="preserve"> is less than </w:t>
      </w:r>
      <w:r>
        <w:rPr>
          <w:rFonts w:eastAsiaTheme="minorEastAsia"/>
          <w:bCs/>
        </w:rPr>
        <w:t>T</w:t>
      </w:r>
      <w:r w:rsidRPr="009C6E61">
        <w:rPr>
          <w:rFonts w:eastAsiaTheme="minorEastAsia"/>
          <w:bCs/>
          <w:vertAlign w:val="subscript"/>
        </w:rPr>
        <w:t>base</w:t>
      </w:r>
      <w:r>
        <w:rPr>
          <w:bCs/>
        </w:rPr>
        <w:t xml:space="preserve">, the GDD for that day is 0; if </w:t>
      </w:r>
      <w:r>
        <w:rPr>
          <w:rFonts w:eastAsiaTheme="minorEastAsia"/>
          <w:bCs/>
        </w:rPr>
        <w:t>T</w:t>
      </w:r>
      <w:r w:rsidRPr="009C6E61">
        <w:rPr>
          <w:rFonts w:eastAsiaTheme="minorEastAsia"/>
          <w:bCs/>
          <w:vertAlign w:val="subscript"/>
        </w:rPr>
        <w:t>mean</w:t>
      </w:r>
      <w:r>
        <w:rPr>
          <w:bCs/>
        </w:rPr>
        <w:t xml:space="preserve"> is bigger than </w:t>
      </w:r>
      <w:r>
        <w:rPr>
          <w:rFonts w:eastAsiaTheme="minorEastAsia"/>
          <w:bCs/>
        </w:rPr>
        <w:t>T</w:t>
      </w:r>
      <w:r w:rsidRPr="009C6E61">
        <w:rPr>
          <w:rFonts w:eastAsiaTheme="minorEastAsia"/>
          <w:bCs/>
          <w:vertAlign w:val="subscript"/>
        </w:rPr>
        <w:t>base</w:t>
      </w:r>
      <w:r>
        <w:rPr>
          <w:bCs/>
        </w:rPr>
        <w:t xml:space="preserve">, the GDD for that day is the difference between </w:t>
      </w:r>
      <w:r>
        <w:rPr>
          <w:rFonts w:eastAsiaTheme="minorEastAsia"/>
          <w:bCs/>
        </w:rPr>
        <w:t>T</w:t>
      </w:r>
      <w:r w:rsidRPr="009C6E61">
        <w:rPr>
          <w:rFonts w:eastAsiaTheme="minorEastAsia"/>
          <w:bCs/>
          <w:vertAlign w:val="subscript"/>
        </w:rPr>
        <w:t>mean</w:t>
      </w:r>
      <w:r>
        <w:rPr>
          <w:bCs/>
        </w:rPr>
        <w:t xml:space="preserve"> and </w:t>
      </w:r>
      <w:r>
        <w:rPr>
          <w:rFonts w:eastAsiaTheme="minorEastAsia"/>
          <w:bCs/>
        </w:rPr>
        <w:t>T</w:t>
      </w:r>
      <w:r w:rsidRPr="009C6E61">
        <w:rPr>
          <w:rFonts w:eastAsiaTheme="minorEastAsia"/>
          <w:bCs/>
          <w:vertAlign w:val="subscript"/>
        </w:rPr>
        <w:t>base</w:t>
      </w:r>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4"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‘sommer’ package </w:t>
      </w:r>
      <w:r>
        <w:rPr>
          <w:bCs/>
        </w:rPr>
        <w:t xml:space="preserve">(Covarrubias-Pazaran, 2020) </w:t>
      </w:r>
      <w:r w:rsidRPr="00711582">
        <w:rPr>
          <w:bCs/>
        </w:rPr>
        <w:t>in R (</w:t>
      </w:r>
      <w:r>
        <w:rPr>
          <w:bCs/>
        </w:rPr>
        <w:t>2020</w:t>
      </w:r>
      <w:r w:rsidRPr="00711582">
        <w:rPr>
          <w:bCs/>
        </w:rPr>
        <w:t xml:space="preserve">). Briefly, we used a multivariate mixed model (mmer)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fourway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1D12C14F"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2ED67" w14:textId="77777777" w:rsidR="009A198E" w:rsidRDefault="009A198E" w:rsidP="007B55E9">
      <w:pPr>
        <w:spacing w:after="0" w:line="240" w:lineRule="auto"/>
      </w:pPr>
      <w:r>
        <w:separator/>
      </w:r>
    </w:p>
  </w:endnote>
  <w:endnote w:type="continuationSeparator" w:id="0">
    <w:p w14:paraId="1211BC83" w14:textId="77777777" w:rsidR="009A198E" w:rsidRDefault="009A198E"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7FCC3" w14:textId="77777777" w:rsidR="009A198E" w:rsidRDefault="009A198E" w:rsidP="007B55E9">
      <w:pPr>
        <w:spacing w:after="0" w:line="240" w:lineRule="auto"/>
      </w:pPr>
      <w:r>
        <w:separator/>
      </w:r>
    </w:p>
  </w:footnote>
  <w:footnote w:type="continuationSeparator" w:id="0">
    <w:p w14:paraId="356282C1" w14:textId="77777777" w:rsidR="009A198E" w:rsidRDefault="009A198E"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45EB7"/>
    <w:rsid w:val="00064ADA"/>
    <w:rsid w:val="0008173C"/>
    <w:rsid w:val="00083CC4"/>
    <w:rsid w:val="00092A16"/>
    <w:rsid w:val="0009482E"/>
    <w:rsid w:val="00094F9D"/>
    <w:rsid w:val="000A37C2"/>
    <w:rsid w:val="000A4FC8"/>
    <w:rsid w:val="000A5C17"/>
    <w:rsid w:val="000B43C1"/>
    <w:rsid w:val="000B6138"/>
    <w:rsid w:val="000C3919"/>
    <w:rsid w:val="000E0B41"/>
    <w:rsid w:val="000E5790"/>
    <w:rsid w:val="00112F2A"/>
    <w:rsid w:val="00113FD9"/>
    <w:rsid w:val="00120602"/>
    <w:rsid w:val="001218C4"/>
    <w:rsid w:val="00131685"/>
    <w:rsid w:val="00143ED7"/>
    <w:rsid w:val="00144530"/>
    <w:rsid w:val="001475B5"/>
    <w:rsid w:val="00176CA1"/>
    <w:rsid w:val="00177EE0"/>
    <w:rsid w:val="001950FC"/>
    <w:rsid w:val="001A454F"/>
    <w:rsid w:val="001A47B0"/>
    <w:rsid w:val="001B04AB"/>
    <w:rsid w:val="001B1D8C"/>
    <w:rsid w:val="001B6997"/>
    <w:rsid w:val="001D1108"/>
    <w:rsid w:val="001D5AD0"/>
    <w:rsid w:val="001E0A27"/>
    <w:rsid w:val="001F188C"/>
    <w:rsid w:val="001F591D"/>
    <w:rsid w:val="001F7232"/>
    <w:rsid w:val="002004B3"/>
    <w:rsid w:val="00203580"/>
    <w:rsid w:val="00205939"/>
    <w:rsid w:val="002059D6"/>
    <w:rsid w:val="00205EC7"/>
    <w:rsid w:val="00207876"/>
    <w:rsid w:val="002129B4"/>
    <w:rsid w:val="002229F9"/>
    <w:rsid w:val="00233A42"/>
    <w:rsid w:val="00236B2F"/>
    <w:rsid w:val="00247A73"/>
    <w:rsid w:val="002531BE"/>
    <w:rsid w:val="00255B02"/>
    <w:rsid w:val="00261633"/>
    <w:rsid w:val="002621DA"/>
    <w:rsid w:val="00265861"/>
    <w:rsid w:val="00286B13"/>
    <w:rsid w:val="00287E01"/>
    <w:rsid w:val="00290289"/>
    <w:rsid w:val="002918DA"/>
    <w:rsid w:val="00296553"/>
    <w:rsid w:val="002A008E"/>
    <w:rsid w:val="002A0403"/>
    <w:rsid w:val="002A25F9"/>
    <w:rsid w:val="002A616B"/>
    <w:rsid w:val="002A746D"/>
    <w:rsid w:val="002B35A4"/>
    <w:rsid w:val="002C0566"/>
    <w:rsid w:val="002C2BA5"/>
    <w:rsid w:val="002C4F58"/>
    <w:rsid w:val="002D1D34"/>
    <w:rsid w:val="002D4FF6"/>
    <w:rsid w:val="002D633A"/>
    <w:rsid w:val="002E3A05"/>
    <w:rsid w:val="002E6C64"/>
    <w:rsid w:val="00305FD5"/>
    <w:rsid w:val="00313DBE"/>
    <w:rsid w:val="00321513"/>
    <w:rsid w:val="00331407"/>
    <w:rsid w:val="00335591"/>
    <w:rsid w:val="00336B7B"/>
    <w:rsid w:val="0034545A"/>
    <w:rsid w:val="00351571"/>
    <w:rsid w:val="003528AB"/>
    <w:rsid w:val="00360B3A"/>
    <w:rsid w:val="00360D0B"/>
    <w:rsid w:val="00374233"/>
    <w:rsid w:val="00390283"/>
    <w:rsid w:val="003B275E"/>
    <w:rsid w:val="003B3194"/>
    <w:rsid w:val="003D0CEF"/>
    <w:rsid w:val="003D2058"/>
    <w:rsid w:val="00401C85"/>
    <w:rsid w:val="00406FA1"/>
    <w:rsid w:val="0041024B"/>
    <w:rsid w:val="00412A1F"/>
    <w:rsid w:val="004144D8"/>
    <w:rsid w:val="004176BC"/>
    <w:rsid w:val="00442F71"/>
    <w:rsid w:val="0044729E"/>
    <w:rsid w:val="00450BC4"/>
    <w:rsid w:val="00450D52"/>
    <w:rsid w:val="004626A2"/>
    <w:rsid w:val="00471AD0"/>
    <w:rsid w:val="0047633C"/>
    <w:rsid w:val="00483BCF"/>
    <w:rsid w:val="00487648"/>
    <w:rsid w:val="004A5825"/>
    <w:rsid w:val="004A60B9"/>
    <w:rsid w:val="004C5D9D"/>
    <w:rsid w:val="004E7835"/>
    <w:rsid w:val="004F492B"/>
    <w:rsid w:val="004F5292"/>
    <w:rsid w:val="005073D5"/>
    <w:rsid w:val="0053056F"/>
    <w:rsid w:val="00532637"/>
    <w:rsid w:val="00542985"/>
    <w:rsid w:val="00543C77"/>
    <w:rsid w:val="00547E2C"/>
    <w:rsid w:val="0056359B"/>
    <w:rsid w:val="005779E9"/>
    <w:rsid w:val="0058030E"/>
    <w:rsid w:val="00593549"/>
    <w:rsid w:val="005A0A1B"/>
    <w:rsid w:val="005B0448"/>
    <w:rsid w:val="005B48F5"/>
    <w:rsid w:val="005B51E7"/>
    <w:rsid w:val="005C1AE9"/>
    <w:rsid w:val="005C7580"/>
    <w:rsid w:val="005D2E94"/>
    <w:rsid w:val="005D4CBB"/>
    <w:rsid w:val="00607891"/>
    <w:rsid w:val="00607E2B"/>
    <w:rsid w:val="0061553C"/>
    <w:rsid w:val="0062190D"/>
    <w:rsid w:val="00622ED6"/>
    <w:rsid w:val="00654CFA"/>
    <w:rsid w:val="006622CE"/>
    <w:rsid w:val="006729EB"/>
    <w:rsid w:val="00673F5A"/>
    <w:rsid w:val="00674A9D"/>
    <w:rsid w:val="00674F1D"/>
    <w:rsid w:val="00677CE0"/>
    <w:rsid w:val="0069137C"/>
    <w:rsid w:val="006950C4"/>
    <w:rsid w:val="006B4FBE"/>
    <w:rsid w:val="006C3D6D"/>
    <w:rsid w:val="006C69D5"/>
    <w:rsid w:val="006D38ED"/>
    <w:rsid w:val="006D6A17"/>
    <w:rsid w:val="006E16D6"/>
    <w:rsid w:val="006E389A"/>
    <w:rsid w:val="006F3F61"/>
    <w:rsid w:val="007010D1"/>
    <w:rsid w:val="007033E8"/>
    <w:rsid w:val="00705607"/>
    <w:rsid w:val="00706E79"/>
    <w:rsid w:val="007102B8"/>
    <w:rsid w:val="0071510B"/>
    <w:rsid w:val="007168D8"/>
    <w:rsid w:val="00717014"/>
    <w:rsid w:val="007217D5"/>
    <w:rsid w:val="00723A28"/>
    <w:rsid w:val="00727B03"/>
    <w:rsid w:val="00730A2A"/>
    <w:rsid w:val="00741398"/>
    <w:rsid w:val="00741E58"/>
    <w:rsid w:val="0074757D"/>
    <w:rsid w:val="007500CC"/>
    <w:rsid w:val="007749EF"/>
    <w:rsid w:val="00781076"/>
    <w:rsid w:val="0078762E"/>
    <w:rsid w:val="007A2678"/>
    <w:rsid w:val="007A6ABF"/>
    <w:rsid w:val="007B4B3A"/>
    <w:rsid w:val="007B55E9"/>
    <w:rsid w:val="007C5880"/>
    <w:rsid w:val="007C5A21"/>
    <w:rsid w:val="007D18ED"/>
    <w:rsid w:val="007D54E0"/>
    <w:rsid w:val="007E4C5F"/>
    <w:rsid w:val="007F704B"/>
    <w:rsid w:val="0082026A"/>
    <w:rsid w:val="00846418"/>
    <w:rsid w:val="00854BAD"/>
    <w:rsid w:val="00855134"/>
    <w:rsid w:val="00857BAE"/>
    <w:rsid w:val="00866E58"/>
    <w:rsid w:val="00872127"/>
    <w:rsid w:val="00883C70"/>
    <w:rsid w:val="008856CF"/>
    <w:rsid w:val="008862B4"/>
    <w:rsid w:val="008869BD"/>
    <w:rsid w:val="00892794"/>
    <w:rsid w:val="008945E9"/>
    <w:rsid w:val="008D7BDE"/>
    <w:rsid w:val="008E2A5C"/>
    <w:rsid w:val="008E30F5"/>
    <w:rsid w:val="008E5129"/>
    <w:rsid w:val="008F7A3E"/>
    <w:rsid w:val="00905975"/>
    <w:rsid w:val="00911047"/>
    <w:rsid w:val="0091743B"/>
    <w:rsid w:val="009219A5"/>
    <w:rsid w:val="0092463E"/>
    <w:rsid w:val="00940202"/>
    <w:rsid w:val="00950031"/>
    <w:rsid w:val="0095061C"/>
    <w:rsid w:val="00954192"/>
    <w:rsid w:val="00973DCA"/>
    <w:rsid w:val="00975C00"/>
    <w:rsid w:val="00980A54"/>
    <w:rsid w:val="00983E7E"/>
    <w:rsid w:val="009944C8"/>
    <w:rsid w:val="009A0C54"/>
    <w:rsid w:val="009A1764"/>
    <w:rsid w:val="009A198E"/>
    <w:rsid w:val="009A6D99"/>
    <w:rsid w:val="009B6ED2"/>
    <w:rsid w:val="009B6EED"/>
    <w:rsid w:val="009D1BE5"/>
    <w:rsid w:val="009D3931"/>
    <w:rsid w:val="009E0622"/>
    <w:rsid w:val="009E6204"/>
    <w:rsid w:val="009E7BE1"/>
    <w:rsid w:val="009F0157"/>
    <w:rsid w:val="009F1E92"/>
    <w:rsid w:val="00A11543"/>
    <w:rsid w:val="00A1326C"/>
    <w:rsid w:val="00A2334A"/>
    <w:rsid w:val="00A238AD"/>
    <w:rsid w:val="00A27FB7"/>
    <w:rsid w:val="00A30C9D"/>
    <w:rsid w:val="00A44561"/>
    <w:rsid w:val="00A549E4"/>
    <w:rsid w:val="00A604DC"/>
    <w:rsid w:val="00A70A2A"/>
    <w:rsid w:val="00A86B1F"/>
    <w:rsid w:val="00A94451"/>
    <w:rsid w:val="00AA0FD7"/>
    <w:rsid w:val="00AA114E"/>
    <w:rsid w:val="00AA3D1A"/>
    <w:rsid w:val="00AA7898"/>
    <w:rsid w:val="00AA7FA1"/>
    <w:rsid w:val="00AB1BEC"/>
    <w:rsid w:val="00AC32B9"/>
    <w:rsid w:val="00AC39E8"/>
    <w:rsid w:val="00AC4496"/>
    <w:rsid w:val="00AC59C4"/>
    <w:rsid w:val="00AE38E9"/>
    <w:rsid w:val="00AE5D08"/>
    <w:rsid w:val="00AE6BF1"/>
    <w:rsid w:val="00AF1543"/>
    <w:rsid w:val="00AF4FC9"/>
    <w:rsid w:val="00AF5437"/>
    <w:rsid w:val="00B14B16"/>
    <w:rsid w:val="00B2786C"/>
    <w:rsid w:val="00B30A74"/>
    <w:rsid w:val="00B328C2"/>
    <w:rsid w:val="00B50C97"/>
    <w:rsid w:val="00B64EDF"/>
    <w:rsid w:val="00B71AB0"/>
    <w:rsid w:val="00B72807"/>
    <w:rsid w:val="00B91FBA"/>
    <w:rsid w:val="00B96AEC"/>
    <w:rsid w:val="00BA245F"/>
    <w:rsid w:val="00BA605A"/>
    <w:rsid w:val="00BA7E68"/>
    <w:rsid w:val="00BD017F"/>
    <w:rsid w:val="00BE6B8D"/>
    <w:rsid w:val="00BE78DF"/>
    <w:rsid w:val="00BF7FD8"/>
    <w:rsid w:val="00C11F7F"/>
    <w:rsid w:val="00C1388E"/>
    <w:rsid w:val="00C30D0C"/>
    <w:rsid w:val="00C41CBE"/>
    <w:rsid w:val="00C45AA6"/>
    <w:rsid w:val="00C45B1E"/>
    <w:rsid w:val="00C6280E"/>
    <w:rsid w:val="00C6309B"/>
    <w:rsid w:val="00C71E4E"/>
    <w:rsid w:val="00C94C15"/>
    <w:rsid w:val="00CB3AE3"/>
    <w:rsid w:val="00CC6D71"/>
    <w:rsid w:val="00CD6661"/>
    <w:rsid w:val="00CD6A0B"/>
    <w:rsid w:val="00CE09EF"/>
    <w:rsid w:val="00CF0FAE"/>
    <w:rsid w:val="00CF2283"/>
    <w:rsid w:val="00D11638"/>
    <w:rsid w:val="00D1751F"/>
    <w:rsid w:val="00D33F3D"/>
    <w:rsid w:val="00D44CBF"/>
    <w:rsid w:val="00D53A1E"/>
    <w:rsid w:val="00D56099"/>
    <w:rsid w:val="00D56C76"/>
    <w:rsid w:val="00D57CE3"/>
    <w:rsid w:val="00D64DB5"/>
    <w:rsid w:val="00D72F4C"/>
    <w:rsid w:val="00D761BB"/>
    <w:rsid w:val="00D82B39"/>
    <w:rsid w:val="00D8313D"/>
    <w:rsid w:val="00D83F1A"/>
    <w:rsid w:val="00DA5FEB"/>
    <w:rsid w:val="00DB530F"/>
    <w:rsid w:val="00DC1F5D"/>
    <w:rsid w:val="00DD7C15"/>
    <w:rsid w:val="00DE2354"/>
    <w:rsid w:val="00DE35D3"/>
    <w:rsid w:val="00DE7983"/>
    <w:rsid w:val="00DF30A5"/>
    <w:rsid w:val="00E0501D"/>
    <w:rsid w:val="00E1076F"/>
    <w:rsid w:val="00E11130"/>
    <w:rsid w:val="00E26CA0"/>
    <w:rsid w:val="00E27759"/>
    <w:rsid w:val="00E35235"/>
    <w:rsid w:val="00E374AB"/>
    <w:rsid w:val="00E40396"/>
    <w:rsid w:val="00E44F28"/>
    <w:rsid w:val="00E4507C"/>
    <w:rsid w:val="00E466BF"/>
    <w:rsid w:val="00E718A3"/>
    <w:rsid w:val="00E7433B"/>
    <w:rsid w:val="00E76EE1"/>
    <w:rsid w:val="00E81A33"/>
    <w:rsid w:val="00E82C32"/>
    <w:rsid w:val="00E92AC5"/>
    <w:rsid w:val="00E9448A"/>
    <w:rsid w:val="00EA260A"/>
    <w:rsid w:val="00EE2CFC"/>
    <w:rsid w:val="00EF30DE"/>
    <w:rsid w:val="00F00F74"/>
    <w:rsid w:val="00F1128C"/>
    <w:rsid w:val="00F16304"/>
    <w:rsid w:val="00F31FB2"/>
    <w:rsid w:val="00F33D87"/>
    <w:rsid w:val="00F40EC9"/>
    <w:rsid w:val="00F4170F"/>
    <w:rsid w:val="00F4253C"/>
    <w:rsid w:val="00F46AC8"/>
    <w:rsid w:val="00F7771E"/>
    <w:rsid w:val="00F864CB"/>
    <w:rsid w:val="00F9061F"/>
    <w:rsid w:val="00F94B97"/>
    <w:rsid w:val="00FC3D95"/>
    <w:rsid w:val="00FD1EA5"/>
    <w:rsid w:val="00FD4E0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dryad.org/stash/dataset/doi:10.5061/dryad.ghx3ffb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19</Pages>
  <Words>7424</Words>
  <Characters>42321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45</cp:revision>
  <dcterms:created xsi:type="dcterms:W3CDTF">2020-07-22T16:34:00Z</dcterms:created>
  <dcterms:modified xsi:type="dcterms:W3CDTF">2020-07-28T20:25:00Z</dcterms:modified>
</cp:coreProperties>
</file>