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77777777"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xml:space="preserve"> thaliana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Several genes controlling flowering in response to photoperiod are conserved between rice and </w:t>
      </w:r>
      <w:r w:rsidRPr="00B64EDF">
        <w:rPr>
          <w:i/>
          <w:iCs/>
        </w:rPr>
        <w:t>Arabidopsis</w:t>
      </w:r>
      <w:r w:rsidRPr="00E81A33">
        <w:t xml:space="preserve">, and the molecular mechanisms involved are similar. </w:t>
      </w:r>
      <w:r w:rsidR="00954192" w:rsidRPr="00954192">
        <w:t xml:space="preserve">Photoperiod changes trigger expression of florigenic proteins -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 to induce reproductive development.</w:t>
      </w:r>
      <w:r w:rsidRPr="00E81A33">
        <w:t xml:space="preserve"> However,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144D8">
        <w:t xml:space="preserve"> </w:t>
      </w:r>
    </w:p>
    <w:p w14:paraId="584D8C07" w14:textId="315E166E" w:rsidR="00E76EE1" w:rsidRDefault="007C5A21" w:rsidP="00331407">
      <w:pPr>
        <w:ind w:firstLine="720"/>
        <w:rPr>
          <w:i/>
          <w:iCs/>
        </w:rPr>
      </w:pPr>
      <w:r>
        <w:rPr>
          <w:i/>
          <w:iCs/>
        </w:rPr>
        <w:t xml:space="preserve">There have been good GxE flowering studies in Arabidopsis and in Helianthus – Ben Blackman’s work – as well as in annual row crops. </w:t>
      </w:r>
      <w:proofErr w:type="gramStart"/>
      <w:r>
        <w:rPr>
          <w:i/>
          <w:iCs/>
        </w:rPr>
        <w:t>So</w:t>
      </w:r>
      <w:proofErr w:type="gramEnd"/>
      <w:r>
        <w:rPr>
          <w:i/>
          <w:iCs/>
        </w:rPr>
        <w:t xml:space="preserve"> there aren’t many perennial systems in which GxE has been studied, and there aren’t many wild systems where we 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w:t>
      </w:r>
      <w:proofErr w:type="gramStart"/>
      <w:r>
        <w:rPr>
          <w:i/>
          <w:iCs/>
        </w:rPr>
        <w:t>you’d</w:t>
      </w:r>
      <w:proofErr w:type="gramEnd"/>
      <w:r>
        <w:rPr>
          <w:i/>
          <w:iCs/>
        </w:rPr>
        <w:t xml:space="preserve">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4A744495" w14:textId="33236480" w:rsidR="00E76EE1" w:rsidRPr="00E76EE1" w:rsidRDefault="007102B8" w:rsidP="00954192">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7DFF4020" w14:textId="7777777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t>
      </w:r>
      <w:r w:rsidR="009E0622">
        <w:lastRenderedPageBreak/>
        <w:t xml:space="preserv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7777777" w:rsidR="004144D8" w:rsidRDefault="004144D8" w:rsidP="004144D8"/>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08FAD730"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w:t>
      </w:r>
      <w:r w:rsidR="00384C59">
        <w:t>. The Gulf and Midwest</w:t>
      </w:r>
      <w:r w:rsidR="00263D55">
        <w:t xml:space="preserve"> genetic subpopulations had the most distinct phenological responses across our common </w:t>
      </w:r>
      <w:proofErr w:type="gramStart"/>
      <w:r w:rsidR="00263D55">
        <w:t>gardens</w:t>
      </w:r>
      <w:r w:rsidR="0052324B">
        <w:t>,</w:t>
      </w:r>
      <w:r w:rsidR="002B031D">
        <w:t xml:space="preserve"> and</w:t>
      </w:r>
      <w:proofErr w:type="gramEnd"/>
      <w:r w:rsidR="002B031D">
        <w:t xml:space="preserve">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w:t>
      </w:r>
      <w:proofErr w:type="spellStart"/>
      <w:r w:rsidR="0052324B">
        <w:t>greenup</w:t>
      </w:r>
      <w:proofErr w:type="spellEnd"/>
      <w:r w:rsidR="0052324B">
        <w:t xml:space="preserve"> between the four northern and three Texas common gardens and </w:t>
      </w:r>
      <w:r w:rsidR="00384C59">
        <w:t>contributed to</w:t>
      </w:r>
      <w:r w:rsidR="0052324B">
        <w:t xml:space="preserve">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w:t>
      </w:r>
      <w:proofErr w:type="spellStart"/>
      <w:r w:rsidR="00390283">
        <w:rPr>
          <w:i/>
          <w:iCs/>
        </w:rPr>
        <w:t>greenup</w:t>
      </w:r>
      <w:proofErr w:type="spellEnd"/>
      <w:r w:rsidR="00390283">
        <w:rPr>
          <w:i/>
          <w:iCs/>
        </w:rPr>
        <w:t xml:space="preserve">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w:t>
      </w:r>
      <w:proofErr w:type="spellStart"/>
      <w:r>
        <w:rPr>
          <w:i/>
          <w:iCs/>
        </w:rPr>
        <w:t>greenup</w:t>
      </w:r>
      <w:proofErr w:type="spellEnd"/>
      <w:r>
        <w:rPr>
          <w:i/>
          <w:iCs/>
        </w:rPr>
        <w:t xml:space="preserve">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697FFC78" w:rsidR="0052324B" w:rsidRPr="005D2E94" w:rsidRDefault="0052324B" w:rsidP="0052324B">
      <w:pPr>
        <w:ind w:firstLine="720"/>
      </w:pPr>
      <w:r>
        <w:t xml:space="preserve">We determined </w:t>
      </w:r>
      <w:proofErr w:type="gramStart"/>
      <w:r w:rsidR="00D807FC">
        <w:t>n</w:t>
      </w:r>
      <w:r>
        <w:t>arrow-sense</w:t>
      </w:r>
      <w:proofErr w:type="gramEnd"/>
      <w:r>
        <w:t xml:space="preserve"> </w:t>
      </w:r>
      <w:proofErr w:type="spellStart"/>
      <w:r>
        <w:t>heritabilities</w:t>
      </w:r>
      <w:proofErr w:type="spellEnd"/>
      <w:r>
        <w:t xml:space="preserve"> (h</w:t>
      </w:r>
      <w:r>
        <w:rPr>
          <w:vertAlign w:val="superscript"/>
        </w:rPr>
        <w:t>2</w:t>
      </w:r>
      <w:r>
        <w:t>)</w:t>
      </w:r>
      <w:r>
        <w:rPr>
          <w:vertAlign w:val="superscript"/>
        </w:rPr>
        <w:t xml:space="preserve"> </w:t>
      </w:r>
      <w:r>
        <w:t xml:space="preserve">for </w:t>
      </w:r>
      <w:proofErr w:type="spellStart"/>
      <w:r>
        <w:t>greenup</w:t>
      </w:r>
      <w:proofErr w:type="spellEnd"/>
      <w:r>
        <w:t xml:space="preserve"> and flowering dates at single common gardens and across all eight common gardens (Figure 1C). To allow for the possibility that different subpopulations</w:t>
      </w:r>
      <w:r w:rsidR="00D807FC">
        <w:t xml:space="preserve">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common gardens, h</w:t>
      </w:r>
      <w:r>
        <w:rPr>
          <w:vertAlign w:val="superscript"/>
        </w:rPr>
        <w:t>2</w:t>
      </w:r>
      <w:r>
        <w:t xml:space="preserve"> were typically quite high: </w:t>
      </w:r>
      <w:r w:rsidR="00F957C3">
        <w:t>5</w:t>
      </w:r>
      <w:r w:rsidR="00934EA3">
        <w:t>9</w:t>
      </w:r>
      <w:r>
        <w:t xml:space="preserve">% on average for </w:t>
      </w:r>
      <w:proofErr w:type="spellStart"/>
      <w:r>
        <w:t>greenup</w:t>
      </w:r>
      <w:proofErr w:type="spellEnd"/>
      <w:r>
        <w:t xml:space="preserve">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w:t>
      </w:r>
      <w:proofErr w:type="spellStart"/>
      <w:r>
        <w:t>greenup</w:t>
      </w:r>
      <w:proofErr w:type="spellEnd"/>
      <w:r>
        <w:t xml:space="preserve"> at our OK and NE common gardens. Greenup dates at these sites were </w:t>
      </w:r>
      <w:r>
        <w:lastRenderedPageBreak/>
        <w:t xml:space="preserve">uncorrelated </w:t>
      </w:r>
      <w:r w:rsidR="00BC47FE">
        <w:t xml:space="preserve">or negatively correlated </w:t>
      </w:r>
      <w:r>
        <w:t xml:space="preserve">with </w:t>
      </w:r>
      <w:proofErr w:type="spellStart"/>
      <w:r>
        <w:t>greenup</w:t>
      </w:r>
      <w:proofErr w:type="spellEnd"/>
      <w:r>
        <w:t xml:space="preserve"> dates for clonal replicates at other sites (Figure 1B). These negative and small correlations undoubtedly contributed to the low h</w:t>
      </w:r>
      <w:r>
        <w:rPr>
          <w:vertAlign w:val="superscript"/>
        </w:rPr>
        <w:t>2</w:t>
      </w:r>
      <w:r>
        <w:t xml:space="preserve"> values for </w:t>
      </w:r>
      <w:proofErr w:type="spellStart"/>
      <w:r>
        <w:t>greenup</w:t>
      </w:r>
      <w:proofErr w:type="spellEnd"/>
      <w:r>
        <w:t xml:space="preserve"> and flowering date across all eight sites: h</w:t>
      </w:r>
      <w:r>
        <w:rPr>
          <w:vertAlign w:val="superscript"/>
        </w:rPr>
        <w:t>2</w:t>
      </w:r>
      <w:r>
        <w:t xml:space="preserve"> was </w:t>
      </w:r>
      <w:r w:rsidR="00BC47FE">
        <w:t>0.</w:t>
      </w:r>
      <w:r w:rsidR="00581C71">
        <w:t>8</w:t>
      </w:r>
      <w:r>
        <w:t xml:space="preserve">% for </w:t>
      </w:r>
      <w:proofErr w:type="spellStart"/>
      <w:r>
        <w:t>greenup</w:t>
      </w:r>
      <w:proofErr w:type="spellEnd"/>
      <w:r>
        <w:t xml:space="preserve">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30BC8DE6"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18464429" w:rsidR="008F7A3E" w:rsidRDefault="009769D6" w:rsidP="00445456">
      <w:pPr>
        <w:ind w:firstLine="720"/>
      </w:pPr>
      <w:r>
        <w:t xml:space="preserve">Across all eight common gardens, </w:t>
      </w:r>
      <w:proofErr w:type="spellStart"/>
      <w:r>
        <w:t>greenup</w:t>
      </w:r>
      <w:proofErr w:type="spellEnd"/>
      <w:r>
        <w:t xml:space="preserve"> date had low </w:t>
      </w:r>
      <w:r w:rsidR="000E1A44">
        <w:t xml:space="preserve">G </w:t>
      </w:r>
      <w:r>
        <w:t>and low GxE</w:t>
      </w:r>
      <w:r w:rsidR="00445456">
        <w:t xml:space="preserve"> (&lt;10%)</w:t>
      </w:r>
      <w:r>
        <w:t xml:space="preserve">, and the G and GxE values were not </w:t>
      </w:r>
      <w:r w:rsidR="00FB7146">
        <w:t xml:space="preserve">substantially improved by defining </w:t>
      </w:r>
      <w:proofErr w:type="spellStart"/>
      <w:r w:rsidR="00FB7146">
        <w:t>greenup</w:t>
      </w:r>
      <w:proofErr w:type="spellEnd"/>
      <w:r w:rsidR="00FB7146">
        <w:t xml:space="preserve"> as functions of weather-based cues (Supplementary Figure/Table).</w:t>
      </w:r>
      <w:r w:rsidR="00445456">
        <w:t xml:space="preserve"> </w:t>
      </w:r>
      <w:r w:rsidR="00D862AA">
        <w:t xml:space="preserve">G and GxE estimates for </w:t>
      </w:r>
      <w:proofErr w:type="spellStart"/>
      <w:r w:rsidR="00D862AA">
        <w:t>greenup</w:t>
      </w:r>
      <w:proofErr w:type="spellEnd"/>
      <w:r w:rsidR="00D862AA">
        <w:t xml:space="preserve">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 xml:space="preserve">for </w:t>
      </w:r>
      <w:proofErr w:type="spellStart"/>
      <w:r w:rsidR="004B4258">
        <w:t>greenup</w:t>
      </w:r>
      <w:proofErr w:type="spellEnd"/>
      <w:r w:rsidR="004B4258">
        <w:t xml:space="preserve">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w:t>
      </w:r>
      <w:proofErr w:type="spellStart"/>
      <w:r w:rsidR="004B4258">
        <w:t>greenup</w:t>
      </w:r>
      <w:proofErr w:type="spellEnd"/>
      <w:r w:rsidR="004B4258">
        <w:t xml:space="preserve"> explained more variance </w:t>
      </w:r>
      <w:r w:rsidR="00701E0F">
        <w:t xml:space="preserve">than </w:t>
      </w:r>
      <w:proofErr w:type="spellStart"/>
      <w:r w:rsidR="00701E0F">
        <w:t>greenup</w:t>
      </w:r>
      <w:proofErr w:type="spellEnd"/>
      <w:r w:rsidR="00701E0F">
        <w:t xml:space="preserve"> date </w:t>
      </w:r>
      <w:r w:rsidR="004B4258">
        <w:t xml:space="preserve">for the Midwest subpopulation </w:t>
      </w:r>
      <w:r w:rsidR="006B248D">
        <w:t>in the North</w:t>
      </w:r>
      <w:r w:rsidR="004B4258">
        <w:t xml:space="preserve">. For other combinations of subpopulations and site subsets, </w:t>
      </w:r>
      <w:proofErr w:type="spellStart"/>
      <w:r w:rsidR="004B4258">
        <w:t>greenup</w:t>
      </w:r>
      <w:proofErr w:type="spellEnd"/>
      <w:r w:rsidR="004B4258">
        <w:t xml:space="preserve"> date outperformed </w:t>
      </w:r>
      <w:proofErr w:type="spellStart"/>
      <w:r w:rsidR="004B4258">
        <w:t>greenup</w:t>
      </w:r>
      <w:proofErr w:type="spellEnd"/>
      <w:r w:rsidR="004B4258">
        <w:t xml:space="preserve"> as functions of weather. </w:t>
      </w:r>
      <w:r w:rsidR="002229F9">
        <w:t xml:space="preserve">This result likely indicates that the weather functions we chose are </w:t>
      </w:r>
      <w:r w:rsidR="004B4258">
        <w:t xml:space="preserve">not cuing </w:t>
      </w:r>
      <w:proofErr w:type="spellStart"/>
      <w:r w:rsidR="004B4258">
        <w:t>greenup</w:t>
      </w:r>
      <w:proofErr w:type="spellEnd"/>
      <w:r w:rsidR="004B4258">
        <w:t xml:space="preserve">. </w:t>
      </w:r>
      <w:r w:rsidR="002229F9">
        <w:t xml:space="preserve">Additional signals such as soil temperatures or chilling days may influence </w:t>
      </w:r>
      <w:proofErr w:type="spellStart"/>
      <w:r w:rsidR="002229F9">
        <w:t>greenup</w:t>
      </w:r>
      <w:proofErr w:type="spellEnd"/>
      <w:r w:rsidR="002229F9">
        <w:t xml:space="preserve"> for each subpopulation within its native range; however, we did not have good proxies for these values for this experiment.</w:t>
      </w:r>
    </w:p>
    <w:p w14:paraId="3D48899C" w14:textId="6C28BEBA" w:rsidR="00741E58" w:rsidRDefault="00D862AA" w:rsidP="00973DCA">
      <w:pPr>
        <w:ind w:firstLine="720"/>
      </w:pPr>
      <w:r>
        <w:t>In contrast</w:t>
      </w:r>
      <w:r w:rsidR="009769D6">
        <w:t xml:space="preserve"> to </w:t>
      </w:r>
      <w:proofErr w:type="spellStart"/>
      <w:r w:rsidR="009769D6">
        <w:t>greenup</w:t>
      </w:r>
      <w:proofErr w:type="spellEnd"/>
      <w:r w:rsidR="009769D6">
        <w:t xml:space="preserve"> date, flowering date had moderate </w:t>
      </w:r>
      <w:r w:rsidR="002B1044">
        <w:t>G and GxE</w:t>
      </w:r>
      <w:r w:rsidR="0074227B">
        <w:t>, and these values were significantly increased by defining flowering as functions of weather based environmental cues (Figure 1D). In the Gulf subpopulation, daylength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explained more G</w:t>
      </w:r>
      <w:r w:rsidR="005C5A80">
        <w:t xml:space="preserve"> (5.8% +/- 2.8% vs 23.8% +/- 6.1%)</w:t>
      </w:r>
      <w:r w:rsidR="00CC31A5">
        <w:t xml:space="preserve">, while three additional cues, daylength, rainfall between </w:t>
      </w:r>
      <w:proofErr w:type="spellStart"/>
      <w:r w:rsidR="00CC31A5">
        <w:t>greenup</w:t>
      </w:r>
      <w:proofErr w:type="spellEnd"/>
      <w:r w:rsidR="00CC31A5">
        <w:t xml:space="preserve">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for which variation is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w:t>
      </w:r>
      <w:proofErr w:type="spellStart"/>
      <w:r w:rsidR="00020495">
        <w:rPr>
          <w:i/>
          <w:iCs/>
        </w:rPr>
        <w:t>greenup</w:t>
      </w:r>
      <w:proofErr w:type="spellEnd"/>
      <w:r w:rsidR="00020495">
        <w:rPr>
          <w:i/>
          <w:iCs/>
        </w:rPr>
        <w:t xml:space="preserve"> and flowering as functions of environmental cues</w:t>
      </w:r>
    </w:p>
    <w:p w14:paraId="1C1F1F16" w14:textId="1DB29DCF" w:rsidR="00177EE0" w:rsidRDefault="00177EE0" w:rsidP="007500CC">
      <w:r>
        <w:tab/>
      </w:r>
      <w:r w:rsidR="000F364E">
        <w:t>Across our eight common gardens, we</w:t>
      </w:r>
      <w:r w:rsidR="006279C0">
        <w:t xml:space="preserve"> observed</w:t>
      </w:r>
      <w:r w:rsidR="000F364E">
        <w:t xml:space="preserve"> heritable genetic variation in </w:t>
      </w:r>
      <w:r w:rsidR="00D80157">
        <w:t xml:space="preserve">the Gulf and Midwest </w:t>
      </w:r>
      <w:r w:rsidR="000F364E">
        <w:t xml:space="preserve">genetic subpopulations for two distinct flowering time cues, and little heritable genetic variation for </w:t>
      </w:r>
      <w:proofErr w:type="spellStart"/>
      <w:r w:rsidR="006279C0">
        <w:t>greenup</w:t>
      </w:r>
      <w:proofErr w:type="spellEnd"/>
      <w:r w:rsidR="006279C0">
        <w:t xml:space="preserve"> date. </w:t>
      </w:r>
      <w:r>
        <w:t xml:space="preserve">We </w:t>
      </w:r>
      <w:r w:rsidR="006279C0">
        <w:t xml:space="preserve">therefore </w:t>
      </w:r>
      <w:r>
        <w:t>evaluated</w:t>
      </w:r>
      <w:r w:rsidR="008945E9">
        <w:t xml:space="preserve"> genetic associations for flowering</w:t>
      </w:r>
      <w:r w:rsidR="006279C0">
        <w:t xml:space="preserve"> date</w:t>
      </w:r>
      <w:r w:rsidR="003B3194">
        <w:t xml:space="preserve"> as functions </w:t>
      </w:r>
      <w:r w:rsidR="002E767E">
        <w:t xml:space="preserve">of two flowering time cues, </w:t>
      </w:r>
      <w:r w:rsidR="003B3194">
        <w:t xml:space="preserve">daylength at flowering and GDD between </w:t>
      </w:r>
      <w:proofErr w:type="spellStart"/>
      <w:r w:rsidR="003B3194">
        <w:t>greenup</w:t>
      </w:r>
      <w:proofErr w:type="spellEnd"/>
      <w:r w:rsidR="003B3194">
        <w:t xml:space="preserve"> and flowering</w:t>
      </w:r>
      <w:r w:rsidR="002E767E">
        <w:t xml:space="preserve">, using </w:t>
      </w:r>
      <w:r w:rsidR="003B3194">
        <w:t>genome-wide association on the</w:t>
      </w:r>
      <w:r w:rsidR="00BC73B7">
        <w:t xml:space="preserve"> genetic </w:t>
      </w:r>
      <w:r w:rsidR="003B3194">
        <w:t>BLUPs both within and between genetic subpopulations.</w:t>
      </w:r>
    </w:p>
    <w:p w14:paraId="6330AADC" w14:textId="70E95B34" w:rsidR="00185076" w:rsidRPr="001D0ABE" w:rsidRDefault="00185076" w:rsidP="007500CC">
      <w:r>
        <w:tab/>
        <w:t>Across both subpopulations, 34 SNPs from 25 100kb regions of the genome were significant at a Bonferroni threshold</w:t>
      </w:r>
      <w:r w:rsidR="00F24C78">
        <w:t>.</w:t>
      </w:r>
      <w:r w:rsidR="00E9683C">
        <w:t xml:space="preserve"> SNPs significant above a Bonferroni had higher -log10p values for </w:t>
      </w:r>
      <w:r w:rsidR="00F24C78">
        <w:t>GDD</w:t>
      </w:r>
      <w:r w:rsidR="00E9683C">
        <w:t xml:space="preserve"> than for </w:t>
      </w:r>
      <w:r w:rsidR="00F24C78">
        <w:t>flowering date</w:t>
      </w:r>
      <w:r w:rsidR="00E9683C">
        <w:t xml:space="preserve"> (</w:t>
      </w:r>
      <w:r w:rsidR="00F24C78">
        <w:t xml:space="preserve">12 SNPs vs </w:t>
      </w:r>
      <w:r w:rsidR="00E9683C">
        <w:t>3 SNPs)</w:t>
      </w:r>
      <w:r w:rsidR="00F24C78">
        <w:t>, and higher -log10p values for</w:t>
      </w:r>
      <w:r w:rsidR="00BC5C5A">
        <w:t xml:space="preserve"> daylength</w:t>
      </w:r>
      <w:r w:rsidR="00F24C78">
        <w:t xml:space="preserve"> than for flowering date</w:t>
      </w:r>
      <w:r w:rsidR="00BC5C5A">
        <w:t xml:space="preserve"> (25 SNPs vs 5 SNPs), indicating that there were stronger genetic associations for weather-derived functions of flowering than for flowering date.</w:t>
      </w:r>
      <w:r w:rsidR="001D0ABE">
        <w:t xml:space="preserve"> These values were significantly skewed towards the weather-derived functions for the top 100 SNPs (binomial test </w:t>
      </w:r>
      <w:r w:rsidR="001D0ABE">
        <w:rPr>
          <w:i/>
          <w:iCs/>
        </w:rPr>
        <w:t xml:space="preserve">p </w:t>
      </w:r>
      <w:r w:rsidR="001D0ABE">
        <w:t>= 5.6e-07 and 1.8e-07).</w:t>
      </w:r>
    </w:p>
    <w:p w14:paraId="2CCA1776" w14:textId="5902E90A" w:rsidR="00FC2061" w:rsidRPr="001D0ABE" w:rsidRDefault="00FC2061" w:rsidP="007500CC">
      <w:r>
        <w:t>In the Midwest subpopulation, there were stronger genetic associations for flowering as a function of daylength than for flowering date (14 SNPs vs 1 SNP), but no significant associations for cumulative GDD.</w:t>
      </w:r>
      <w:r w:rsidR="001D0ABE">
        <w:t xml:space="preserve"> SNP p-values were significantly skewed towards daylength for the top 100 SNPs (binomial test </w:t>
      </w:r>
      <w:r w:rsidR="001D0ABE">
        <w:rPr>
          <w:i/>
          <w:iCs/>
        </w:rPr>
        <w:t>p</w:t>
      </w:r>
      <w:r w:rsidR="001D0ABE">
        <w:t xml:space="preserve"> = 2.2e-16) but not towards cumulative GDD. </w:t>
      </w:r>
    </w:p>
    <w:p w14:paraId="4B1D553E" w14:textId="3D40D490" w:rsidR="00FC2061" w:rsidRDefault="00FC2061" w:rsidP="007500CC">
      <w:r>
        <w:t xml:space="preserve">In the Gulf subpopulation, </w:t>
      </w:r>
      <w:r w:rsidR="00150878">
        <w:t xml:space="preserve">there were only three genetic associations above a Bonferroni threshold, </w:t>
      </w:r>
      <w:r w:rsidR="00BA5C25">
        <w:t>but</w:t>
      </w:r>
      <w:r w:rsidR="00150878">
        <w:t xml:space="preserve"> the top </w:t>
      </w:r>
      <w:r w:rsidR="001D0ABE">
        <w:t>10</w:t>
      </w:r>
      <w:r w:rsidR="00150878">
        <w:t>0 SNPs</w:t>
      </w:r>
      <w:r w:rsidR="001D0ABE">
        <w:t xml:space="preserve"> were skewed to have higher </w:t>
      </w:r>
      <w:r w:rsidR="00150878">
        <w:t>-log10pvalues for daylength than for flowering date</w:t>
      </w:r>
      <w:r w:rsidR="001D0ABE">
        <w:t xml:space="preserve"> (binomial test </w:t>
      </w:r>
      <w:r w:rsidR="001D0ABE">
        <w:rPr>
          <w:i/>
          <w:iCs/>
        </w:rPr>
        <w:t>p</w:t>
      </w:r>
      <w:r w:rsidR="001D0ABE">
        <w:t xml:space="preserve"> = </w:t>
      </w:r>
      <w:r w:rsidR="00BA5C25">
        <w:t>0.003)</w:t>
      </w:r>
      <w:r w:rsidR="00150878">
        <w:t>.</w:t>
      </w:r>
    </w:p>
    <w:p w14:paraId="7B275FDE" w14:textId="78C431F5" w:rsidR="008767AA" w:rsidRDefault="008767AA" w:rsidP="007500CC">
      <w:r>
        <w:t>Comparing the top 100 hits</w:t>
      </w:r>
      <w:r w:rsidR="00A20E08">
        <w:t xml:space="preserve"> within and between subpopulations</w:t>
      </w:r>
      <w:r>
        <w:t xml:space="preserve">, </w:t>
      </w:r>
      <w:r w:rsidR="000B3689">
        <w:t>1% of across subpopulation hits</w:t>
      </w:r>
      <w:r>
        <w:t xml:space="preserve"> were found in the same 100kb regions</w:t>
      </w:r>
      <w:r w:rsidR="000B3689">
        <w:t xml:space="preserve"> in the Midwest, and 7% were found in the same 100kb regions in the Gulf</w:t>
      </w:r>
      <w:r>
        <w:t>.</w:t>
      </w:r>
      <w:r w:rsidR="00E078FB">
        <w:t xml:space="preserve"> There was no overlap between 100kb regions for Midwest and Gulf hits in the top 100 hits.</w:t>
      </w:r>
      <w:r w:rsidR="00AE1FCD">
        <w:t xml:space="preserve"> Thus, considerable additional information was gained considering both GWAS within and between subpopulations.</w:t>
      </w:r>
    </w:p>
    <w:p w14:paraId="4391A3C4" w14:textId="2D8BB1CC" w:rsidR="00185076" w:rsidRDefault="00185076" w:rsidP="007500CC">
      <w:r>
        <w:rPr>
          <w:noProof/>
        </w:rPr>
        <w:drawing>
          <wp:inline distT="0" distB="0" distL="0" distR="0" wp14:anchorId="622A61C7" wp14:editId="740CE3CA">
            <wp:extent cx="5943600" cy="2377440"/>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_eight_sites_Gulf_and_Midwest_top_500_Manhatt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1C2D0FA1" w14:textId="340554C1" w:rsidR="000E0B41" w:rsidRDefault="000E0B41" w:rsidP="007500CC"/>
    <w:p w14:paraId="4B9151BF" w14:textId="63BA0D39" w:rsidR="006279C0" w:rsidRDefault="006279C0" w:rsidP="007500CC">
      <w:pPr>
        <w:rPr>
          <w:i/>
          <w:iCs/>
        </w:rPr>
      </w:pPr>
      <w:r w:rsidRPr="006279C0">
        <w:rPr>
          <w:i/>
          <w:iCs/>
        </w:rPr>
        <w:t>Parag</w:t>
      </w:r>
      <w:r>
        <w:rPr>
          <w:i/>
          <w:iCs/>
        </w:rPr>
        <w:t xml:space="preserve">raphs about G effects for </w:t>
      </w:r>
      <w:proofErr w:type="spellStart"/>
      <w:r>
        <w:rPr>
          <w:i/>
          <w:iCs/>
        </w:rPr>
        <w:t>greenup</w:t>
      </w:r>
      <w:proofErr w:type="spellEnd"/>
      <w:r>
        <w:rPr>
          <w:i/>
          <w:iCs/>
        </w:rPr>
        <w:t xml:space="preserve"> at Texas and North sites</w:t>
      </w:r>
      <w:r w:rsidR="00775237">
        <w:rPr>
          <w:i/>
          <w:iCs/>
        </w:rPr>
        <w:t>?</w:t>
      </w:r>
    </w:p>
    <w:p w14:paraId="63B0335F" w14:textId="7C54FF8B" w:rsidR="006279C0" w:rsidRDefault="006279C0" w:rsidP="006279C0">
      <w:pPr>
        <w:rPr>
          <w:i/>
          <w:iCs/>
        </w:rPr>
      </w:pPr>
      <w:r w:rsidRPr="006279C0">
        <w:rPr>
          <w:i/>
          <w:iCs/>
        </w:rPr>
        <w:lastRenderedPageBreak/>
        <w:t>Parag</w:t>
      </w:r>
      <w:r>
        <w:rPr>
          <w:i/>
          <w:iCs/>
        </w:rPr>
        <w:t>raphs about G effects for flowering at Texas and North sites</w:t>
      </w:r>
      <w:r w:rsidR="00775237">
        <w:rPr>
          <w:i/>
          <w:iCs/>
        </w:rPr>
        <w:t>?</w:t>
      </w:r>
    </w:p>
    <w:p w14:paraId="3AA5B532" w14:textId="77777777" w:rsidR="006279C0" w:rsidRPr="006279C0" w:rsidRDefault="006279C0" w:rsidP="007500CC">
      <w:pPr>
        <w:rPr>
          <w:i/>
          <w:iCs/>
        </w:rPr>
      </w:pPr>
    </w:p>
    <w:p w14:paraId="16E29CD1" w14:textId="77777777" w:rsidR="008862B4" w:rsidRDefault="008862B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54FF9449" w:rsidR="003B3194" w:rsidRDefault="003B3194" w:rsidP="007500CC">
      <w:r>
        <w:tab/>
        <w:t xml:space="preserve">We next evaluated the genotype by environment effects of flowering as </w:t>
      </w:r>
      <w:r w:rsidR="009F2E07">
        <w:t xml:space="preserve">functions </w:t>
      </w:r>
      <w:r>
        <w:t>of daylength at flowering</w:t>
      </w:r>
      <w:r w:rsidR="009F2E07">
        <w:t>,</w:t>
      </w:r>
      <w:r>
        <w:t xml:space="preserve"> GDD between </w:t>
      </w:r>
      <w:proofErr w:type="spellStart"/>
      <w:r>
        <w:t>greenup</w:t>
      </w:r>
      <w:proofErr w:type="spellEnd"/>
      <w:r>
        <w:t xml:space="preserve"> and flowering</w:t>
      </w:r>
      <w:r w:rsidR="00F52223">
        <w:t xml:space="preserve">, rainfall on the day of flowering, and rainfall between </w:t>
      </w:r>
      <w:proofErr w:type="spellStart"/>
      <w:r w:rsidR="00F52223">
        <w:t>greenup</w:t>
      </w:r>
      <w:proofErr w:type="spellEnd"/>
      <w:r w:rsidR="00F52223">
        <w:t xml:space="preserve"> and flowering</w:t>
      </w:r>
      <w:r>
        <w:t>. To do this, we conducted univariate GWAS for flowering at each common garden</w:t>
      </w:r>
      <w:r w:rsidR="00607891">
        <w:t xml:space="preserve"> as functions of Julian date, photoperiod, temperature, and rainfall</w:t>
      </w:r>
      <w:r>
        <w:t>, then analyzed the allelic effects of unlinked SNPs across common garden sites for the top XK SNPs using mash</w:t>
      </w:r>
      <w:r w:rsidR="002C0566">
        <w:t>, both within and between genetic subpopulations</w:t>
      </w:r>
      <w:r>
        <w:t xml:space="preserve">. </w:t>
      </w:r>
    </w:p>
    <w:p w14:paraId="6BE8A8CE" w14:textId="0AA98D17" w:rsidR="00F52223" w:rsidRPr="00F52223" w:rsidRDefault="00F52223" w:rsidP="007500CC">
      <w:pPr>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F52223">
      <w:pPr>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816D45">
      <w:pPr>
        <w:rPr>
          <w:i/>
          <w:iCs/>
        </w:rPr>
      </w:pPr>
      <w:r>
        <w:rPr>
          <w:i/>
          <w:iCs/>
        </w:rPr>
        <w:t xml:space="preserve">Paragraph about GxE effects for flowering in both </w:t>
      </w:r>
      <w:proofErr w:type="spellStart"/>
      <w:r>
        <w:rPr>
          <w:i/>
          <w:iCs/>
        </w:rPr>
        <w:t>subpops</w:t>
      </w:r>
      <w:proofErr w:type="spellEnd"/>
      <w:r>
        <w:rPr>
          <w:i/>
          <w:iCs/>
        </w:rPr>
        <w:t>?</w:t>
      </w:r>
    </w:p>
    <w:p w14:paraId="6DA60475" w14:textId="1135206E" w:rsidR="00816D45" w:rsidRPr="00F52223" w:rsidRDefault="00816D45" w:rsidP="00816D45">
      <w:pPr>
        <w:rPr>
          <w:i/>
          <w:iCs/>
        </w:rPr>
      </w:pPr>
      <w:r>
        <w:rPr>
          <w:i/>
          <w:iCs/>
        </w:rPr>
        <w:t xml:space="preserve">Overlap between these GxE effects? There isn’t much, I </w:t>
      </w:r>
      <w:proofErr w:type="gramStart"/>
      <w:r>
        <w:rPr>
          <w:i/>
          <w:iCs/>
        </w:rPr>
        <w:t>assume?</w:t>
      </w:r>
      <w:proofErr w:type="gramEnd"/>
    </w:p>
    <w:p w14:paraId="043EF42E" w14:textId="77777777" w:rsidR="003B3194" w:rsidRDefault="003B3194" w:rsidP="00F52223">
      <w:pPr>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 xml:space="preserve">Confirmation of genetic and genotype-by environment effects using a </w:t>
      </w:r>
      <w:proofErr w:type="spellStart"/>
      <w:r>
        <w:rPr>
          <w:i/>
          <w:iCs/>
        </w:rPr>
        <w:t>f</w:t>
      </w:r>
      <w:r w:rsidR="00F4170F">
        <w:rPr>
          <w:i/>
          <w:iCs/>
        </w:rPr>
        <w:t>ourway</w:t>
      </w:r>
      <w:proofErr w:type="spellEnd"/>
      <w:r w:rsidR="00F4170F">
        <w:rPr>
          <w:i/>
          <w:iCs/>
        </w:rPr>
        <w:t xml:space="preserve"> cross </w:t>
      </w:r>
    </w:p>
    <w:p w14:paraId="14152C8A" w14:textId="1CE76B50"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w:t>
      </w:r>
      <w:r w:rsidR="00D53A1E">
        <w:t>.</w:t>
      </w:r>
    </w:p>
    <w:p w14:paraId="15133EDB" w14:textId="7D6FD85D"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D53A1E">
        <w:t>.</w:t>
      </w:r>
      <w:r w:rsidR="0047633C">
        <w:t xml:space="preserve">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p>
    <w:p w14:paraId="472626CD" w14:textId="52C8F234" w:rsidR="0047633C" w:rsidRDefault="00113FD9" w:rsidP="0047633C">
      <w:r w:rsidRPr="0047633C">
        <w:rPr>
          <w:i/>
          <w:iCs/>
          <w:noProof/>
        </w:rPr>
        <w:lastRenderedPageBreak/>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r w:rsidR="0008173C">
        <w:t xml:space="preserve">There were </w:t>
      </w:r>
      <w:r w:rsidR="00674F1D">
        <w:t>five</w:t>
      </w:r>
      <w:r w:rsidR="0008173C">
        <w:t xml:space="preserve"> QTL for flowering GDD, all of which overlapped with QTL for flowering date.</w:t>
      </w:r>
      <w:r w:rsidR="005A0A1B">
        <w:t xml:space="preserve"> 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48C630A6" w:rsidR="002A0403" w:rsidRDefault="002A0403" w:rsidP="00DC1F5D">
      <w:pPr>
        <w:ind w:firstLine="720"/>
      </w:pPr>
      <w:r>
        <w:t xml:space="preserve">All eight QTL </w:t>
      </w:r>
      <w:r w:rsidR="00892794">
        <w:t xml:space="preserve">for flowering date </w:t>
      </w:r>
      <w:r>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w:t>
      </w:r>
      <w:r w:rsidR="00855134">
        <w:lastRenderedPageBreak/>
        <w:t xml:space="preserve">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w:t>
      </w:r>
      <w:proofErr w:type="spellStart"/>
      <w:r w:rsidR="00FF3752">
        <w:t>AxB</w:t>
      </w:r>
      <w:proofErr w:type="spellEnd"/>
      <w:r w:rsidR="00FF3752">
        <w:t xml:space="preserve">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w:t>
      </w:r>
      <w:proofErr w:type="spellStart"/>
      <w:r w:rsidR="00FF3752">
        <w:t>CxD</w:t>
      </w:r>
      <w:proofErr w:type="spellEnd"/>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w:t>
      </w:r>
      <w:proofErr w:type="spellStart"/>
      <w:r w:rsidR="00E718A3">
        <w:t>AxB</w:t>
      </w:r>
      <w:proofErr w:type="spellEnd"/>
      <w:r w:rsidR="00E718A3">
        <w:t xml:space="preserve"> cross, while four accelerated it in the </w:t>
      </w:r>
      <w:proofErr w:type="spellStart"/>
      <w:r w:rsidR="00E718A3">
        <w:t>CxD</w:t>
      </w:r>
      <w:proofErr w:type="spellEnd"/>
      <w:r w:rsidR="00E718A3">
        <w:t xml:space="preserve"> cross. At TX1, two accelerated flowering by decreasing GDD requirements in the </w:t>
      </w:r>
      <w:proofErr w:type="spellStart"/>
      <w:r w:rsidR="00E718A3">
        <w:t>AxB</w:t>
      </w:r>
      <w:proofErr w:type="spellEnd"/>
      <w:r w:rsidR="00E718A3">
        <w:t xml:space="preserve"> cross, and two decelerated it, while only one allele accelerated flowering at TX1 in the </w:t>
      </w:r>
      <w:proofErr w:type="spellStart"/>
      <w:r w:rsidR="00E718A3">
        <w:t>CxD</w:t>
      </w:r>
      <w:proofErr w:type="spellEnd"/>
      <w:r w:rsidR="00E718A3">
        <w:t xml:space="preserve"> cross. In general, Kingsville (TX1) is a marked departure from the temperate climates of the other common gardens. Heritability for flowering was lowest at TX1 in the </w:t>
      </w:r>
      <w:proofErr w:type="spellStart"/>
      <w:r w:rsidR="00E718A3">
        <w:t>fourway</w:t>
      </w:r>
      <w:proofErr w:type="spellEnd"/>
      <w:r w:rsidR="00E718A3">
        <w:t xml:space="preserve">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colocalized with one or more of 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w:t>
      </w:r>
      <w:r>
        <w:lastRenderedPageBreak/>
        <w:t xml:space="preserve">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65452040"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w:t>
      </w:r>
      <w:proofErr w:type="gramStart"/>
      <w:r>
        <w:t>12 and 16 hour</w:t>
      </w:r>
      <w:proofErr w:type="gramEnd"/>
      <w:r>
        <w:t xml:space="preserve">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 xml:space="preserve">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w:t>
      </w:r>
      <w:proofErr w:type="spellStart"/>
      <w:r>
        <w:t>greenup</w:t>
      </w:r>
      <w:proofErr w:type="spellEnd"/>
      <w:r>
        <w:t xml:space="preserve">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 xml:space="preserve">at each </w:t>
      </w:r>
      <w:proofErr w:type="gramStart"/>
      <w:r>
        <w:rPr>
          <w:bCs/>
        </w:rPr>
        <w:t>field</w:t>
      </w:r>
      <w:r w:rsidRPr="00711582">
        <w:rPr>
          <w:bCs/>
        </w:rPr>
        <w:t>, and</w:t>
      </w:r>
      <w:proofErr w:type="gramEnd"/>
      <w:r w:rsidRPr="00711582">
        <w:rPr>
          <w:bCs/>
        </w:rPr>
        <w:t xml:space="preserve">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3AB2417A"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0B16B" w14:textId="77777777" w:rsidR="00AE7A08" w:rsidRDefault="00AE7A08" w:rsidP="007B55E9">
      <w:pPr>
        <w:spacing w:after="0" w:line="240" w:lineRule="auto"/>
      </w:pPr>
      <w:r>
        <w:separator/>
      </w:r>
    </w:p>
  </w:endnote>
  <w:endnote w:type="continuationSeparator" w:id="0">
    <w:p w14:paraId="5B3A5C73" w14:textId="77777777" w:rsidR="00AE7A08" w:rsidRDefault="00AE7A08"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E5329" w14:textId="77777777" w:rsidR="00AE7A08" w:rsidRDefault="00AE7A08" w:rsidP="007B55E9">
      <w:pPr>
        <w:spacing w:after="0" w:line="240" w:lineRule="auto"/>
      </w:pPr>
      <w:r>
        <w:separator/>
      </w:r>
    </w:p>
  </w:footnote>
  <w:footnote w:type="continuationSeparator" w:id="0">
    <w:p w14:paraId="17BDDEEF" w14:textId="77777777" w:rsidR="00AE7A08" w:rsidRDefault="00AE7A08"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8173C"/>
    <w:rsid w:val="00083CC4"/>
    <w:rsid w:val="00092A16"/>
    <w:rsid w:val="0009482E"/>
    <w:rsid w:val="00094F9D"/>
    <w:rsid w:val="000A37C2"/>
    <w:rsid w:val="000A4FC8"/>
    <w:rsid w:val="000A5C17"/>
    <w:rsid w:val="000B3689"/>
    <w:rsid w:val="000B43C1"/>
    <w:rsid w:val="000B56FC"/>
    <w:rsid w:val="000B6138"/>
    <w:rsid w:val="000C3919"/>
    <w:rsid w:val="000D5DCA"/>
    <w:rsid w:val="000E0B41"/>
    <w:rsid w:val="000E1A44"/>
    <w:rsid w:val="000E5790"/>
    <w:rsid w:val="000E7BFF"/>
    <w:rsid w:val="000F364E"/>
    <w:rsid w:val="00112F2A"/>
    <w:rsid w:val="00113FD9"/>
    <w:rsid w:val="00120602"/>
    <w:rsid w:val="001218C4"/>
    <w:rsid w:val="00131685"/>
    <w:rsid w:val="00143ED7"/>
    <w:rsid w:val="00144530"/>
    <w:rsid w:val="001475B5"/>
    <w:rsid w:val="00150878"/>
    <w:rsid w:val="0016033C"/>
    <w:rsid w:val="00176CA1"/>
    <w:rsid w:val="00177EE0"/>
    <w:rsid w:val="00185076"/>
    <w:rsid w:val="001950FC"/>
    <w:rsid w:val="001A454F"/>
    <w:rsid w:val="001A47B0"/>
    <w:rsid w:val="001B04AB"/>
    <w:rsid w:val="001B1D8C"/>
    <w:rsid w:val="001B3315"/>
    <w:rsid w:val="001B6997"/>
    <w:rsid w:val="001D0ABE"/>
    <w:rsid w:val="001D1108"/>
    <w:rsid w:val="001D5AD0"/>
    <w:rsid w:val="001E0A27"/>
    <w:rsid w:val="001F188C"/>
    <w:rsid w:val="001F591D"/>
    <w:rsid w:val="001F7232"/>
    <w:rsid w:val="002004B3"/>
    <w:rsid w:val="00203580"/>
    <w:rsid w:val="00205939"/>
    <w:rsid w:val="002059D6"/>
    <w:rsid w:val="00205EC7"/>
    <w:rsid w:val="00207876"/>
    <w:rsid w:val="002129B4"/>
    <w:rsid w:val="002229F9"/>
    <w:rsid w:val="0022308F"/>
    <w:rsid w:val="00233A42"/>
    <w:rsid w:val="00236B2F"/>
    <w:rsid w:val="00247A73"/>
    <w:rsid w:val="00250461"/>
    <w:rsid w:val="002531BE"/>
    <w:rsid w:val="00255B02"/>
    <w:rsid w:val="00261633"/>
    <w:rsid w:val="002621DA"/>
    <w:rsid w:val="00263D55"/>
    <w:rsid w:val="00265861"/>
    <w:rsid w:val="00275909"/>
    <w:rsid w:val="00286B13"/>
    <w:rsid w:val="00287E01"/>
    <w:rsid w:val="00290289"/>
    <w:rsid w:val="002918DA"/>
    <w:rsid w:val="00296553"/>
    <w:rsid w:val="002A008E"/>
    <w:rsid w:val="002A0403"/>
    <w:rsid w:val="002A25F9"/>
    <w:rsid w:val="002A616B"/>
    <w:rsid w:val="002A746D"/>
    <w:rsid w:val="002B031D"/>
    <w:rsid w:val="002B1044"/>
    <w:rsid w:val="002B35A4"/>
    <w:rsid w:val="002C0566"/>
    <w:rsid w:val="002C2BA5"/>
    <w:rsid w:val="002C4F58"/>
    <w:rsid w:val="002D1D34"/>
    <w:rsid w:val="002D4FF6"/>
    <w:rsid w:val="002D633A"/>
    <w:rsid w:val="002E3A05"/>
    <w:rsid w:val="002E6C64"/>
    <w:rsid w:val="002E767E"/>
    <w:rsid w:val="00305FD5"/>
    <w:rsid w:val="00313DBE"/>
    <w:rsid w:val="00321513"/>
    <w:rsid w:val="00331407"/>
    <w:rsid w:val="00335591"/>
    <w:rsid w:val="00336B7B"/>
    <w:rsid w:val="0034545A"/>
    <w:rsid w:val="00351571"/>
    <w:rsid w:val="003528AB"/>
    <w:rsid w:val="00360B3A"/>
    <w:rsid w:val="00360D0B"/>
    <w:rsid w:val="00374233"/>
    <w:rsid w:val="00384C59"/>
    <w:rsid w:val="00390283"/>
    <w:rsid w:val="003B275E"/>
    <w:rsid w:val="003B3194"/>
    <w:rsid w:val="003D0CEF"/>
    <w:rsid w:val="003D2058"/>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BCF"/>
    <w:rsid w:val="00487648"/>
    <w:rsid w:val="004A5825"/>
    <w:rsid w:val="004A60B9"/>
    <w:rsid w:val="004B4258"/>
    <w:rsid w:val="004C5D9D"/>
    <w:rsid w:val="004E7835"/>
    <w:rsid w:val="004F492B"/>
    <w:rsid w:val="004F5292"/>
    <w:rsid w:val="005073D5"/>
    <w:rsid w:val="0052324B"/>
    <w:rsid w:val="0053056F"/>
    <w:rsid w:val="00532637"/>
    <w:rsid w:val="00542985"/>
    <w:rsid w:val="00543C77"/>
    <w:rsid w:val="00547E2C"/>
    <w:rsid w:val="0056359B"/>
    <w:rsid w:val="005679B5"/>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607891"/>
    <w:rsid w:val="00607E2B"/>
    <w:rsid w:val="0061553C"/>
    <w:rsid w:val="0062190D"/>
    <w:rsid w:val="00622ED6"/>
    <w:rsid w:val="006279C0"/>
    <w:rsid w:val="00654CFA"/>
    <w:rsid w:val="006622CE"/>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57D"/>
    <w:rsid w:val="007500CC"/>
    <w:rsid w:val="007749EF"/>
    <w:rsid w:val="00775237"/>
    <w:rsid w:val="00781076"/>
    <w:rsid w:val="0078762E"/>
    <w:rsid w:val="007A2678"/>
    <w:rsid w:val="007A6ABF"/>
    <w:rsid w:val="007B4B3A"/>
    <w:rsid w:val="007B55E9"/>
    <w:rsid w:val="007C5880"/>
    <w:rsid w:val="007C5A21"/>
    <w:rsid w:val="007D18ED"/>
    <w:rsid w:val="007D54E0"/>
    <w:rsid w:val="007E4C5F"/>
    <w:rsid w:val="007F704B"/>
    <w:rsid w:val="00816D45"/>
    <w:rsid w:val="0082026A"/>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2A5C"/>
    <w:rsid w:val="008E30F5"/>
    <w:rsid w:val="008E5129"/>
    <w:rsid w:val="008F7A3E"/>
    <w:rsid w:val="00905975"/>
    <w:rsid w:val="00911047"/>
    <w:rsid w:val="0091743B"/>
    <w:rsid w:val="009219A5"/>
    <w:rsid w:val="0092463E"/>
    <w:rsid w:val="00934EA3"/>
    <w:rsid w:val="00940202"/>
    <w:rsid w:val="00950031"/>
    <w:rsid w:val="0095061C"/>
    <w:rsid w:val="00954192"/>
    <w:rsid w:val="00973DCA"/>
    <w:rsid w:val="00975C00"/>
    <w:rsid w:val="009769D6"/>
    <w:rsid w:val="00980A54"/>
    <w:rsid w:val="00983E7E"/>
    <w:rsid w:val="009944C8"/>
    <w:rsid w:val="00995A51"/>
    <w:rsid w:val="009A0C54"/>
    <w:rsid w:val="009A1764"/>
    <w:rsid w:val="009A198E"/>
    <w:rsid w:val="009A6D99"/>
    <w:rsid w:val="009B6ED2"/>
    <w:rsid w:val="009B6EED"/>
    <w:rsid w:val="009D1BE5"/>
    <w:rsid w:val="009D2D00"/>
    <w:rsid w:val="009D3931"/>
    <w:rsid w:val="009D7E32"/>
    <w:rsid w:val="009E0622"/>
    <w:rsid w:val="009E6204"/>
    <w:rsid w:val="009E7BE1"/>
    <w:rsid w:val="009F0157"/>
    <w:rsid w:val="009F1E92"/>
    <w:rsid w:val="009F2E07"/>
    <w:rsid w:val="00A11543"/>
    <w:rsid w:val="00A1326C"/>
    <w:rsid w:val="00A20E08"/>
    <w:rsid w:val="00A2334A"/>
    <w:rsid w:val="00A238AD"/>
    <w:rsid w:val="00A27FB7"/>
    <w:rsid w:val="00A30C9D"/>
    <w:rsid w:val="00A44561"/>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6B4A"/>
    <w:rsid w:val="00B50C97"/>
    <w:rsid w:val="00B64EDF"/>
    <w:rsid w:val="00B71AB0"/>
    <w:rsid w:val="00B72807"/>
    <w:rsid w:val="00B91FBA"/>
    <w:rsid w:val="00B96AEC"/>
    <w:rsid w:val="00BA245F"/>
    <w:rsid w:val="00BA5C25"/>
    <w:rsid w:val="00BA605A"/>
    <w:rsid w:val="00BA7E68"/>
    <w:rsid w:val="00BB24A7"/>
    <w:rsid w:val="00BC47FE"/>
    <w:rsid w:val="00BC5C5A"/>
    <w:rsid w:val="00BC73B7"/>
    <w:rsid w:val="00BD017F"/>
    <w:rsid w:val="00BE6B8D"/>
    <w:rsid w:val="00BE78DF"/>
    <w:rsid w:val="00BF7FD8"/>
    <w:rsid w:val="00C11F7F"/>
    <w:rsid w:val="00C1388E"/>
    <w:rsid w:val="00C26062"/>
    <w:rsid w:val="00C30D0C"/>
    <w:rsid w:val="00C41CBE"/>
    <w:rsid w:val="00C45AA6"/>
    <w:rsid w:val="00C45B1E"/>
    <w:rsid w:val="00C6280E"/>
    <w:rsid w:val="00C6309B"/>
    <w:rsid w:val="00C71E4E"/>
    <w:rsid w:val="00C73273"/>
    <w:rsid w:val="00C94C15"/>
    <w:rsid w:val="00CB3AE3"/>
    <w:rsid w:val="00CC31A5"/>
    <w:rsid w:val="00CC6D71"/>
    <w:rsid w:val="00CD4650"/>
    <w:rsid w:val="00CD6661"/>
    <w:rsid w:val="00CD6A0B"/>
    <w:rsid w:val="00CE09EF"/>
    <w:rsid w:val="00CF0FAE"/>
    <w:rsid w:val="00CF2283"/>
    <w:rsid w:val="00D11638"/>
    <w:rsid w:val="00D1751F"/>
    <w:rsid w:val="00D30041"/>
    <w:rsid w:val="00D33F3D"/>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22A87"/>
    <w:rsid w:val="00E26CA0"/>
    <w:rsid w:val="00E27759"/>
    <w:rsid w:val="00E35235"/>
    <w:rsid w:val="00E374AB"/>
    <w:rsid w:val="00E40396"/>
    <w:rsid w:val="00E44F28"/>
    <w:rsid w:val="00E4507C"/>
    <w:rsid w:val="00E466BF"/>
    <w:rsid w:val="00E63946"/>
    <w:rsid w:val="00E718A3"/>
    <w:rsid w:val="00E7433B"/>
    <w:rsid w:val="00E76EE1"/>
    <w:rsid w:val="00E81A33"/>
    <w:rsid w:val="00E82C32"/>
    <w:rsid w:val="00E92AC5"/>
    <w:rsid w:val="00E9448A"/>
    <w:rsid w:val="00E9683C"/>
    <w:rsid w:val="00EA260A"/>
    <w:rsid w:val="00EE2CFC"/>
    <w:rsid w:val="00EF30DE"/>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B97"/>
    <w:rsid w:val="00F957C3"/>
    <w:rsid w:val="00FB09C9"/>
    <w:rsid w:val="00FB492B"/>
    <w:rsid w:val="00FB7146"/>
    <w:rsid w:val="00FC2061"/>
    <w:rsid w:val="00FC3D95"/>
    <w:rsid w:val="00FD1EA5"/>
    <w:rsid w:val="00FD4E0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dryad.org/stash/dataset/doi:10.5061/dryad.ghx3ffb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3922</TotalTime>
  <Pages>1</Pages>
  <Words>7549</Words>
  <Characters>43030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108</cp:revision>
  <dcterms:created xsi:type="dcterms:W3CDTF">2020-07-22T16:34:00Z</dcterms:created>
  <dcterms:modified xsi:type="dcterms:W3CDTF">2020-08-05T22:21:00Z</dcterms:modified>
</cp:coreProperties>
</file>