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3B74ED0A"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w:t>
      </w:r>
      <w:proofErr w:type="spellStart"/>
      <w:r w:rsidR="004830E7">
        <w:t>Xiaoyu’s</w:t>
      </w:r>
      <w:proofErr w:type="spellEnd"/>
      <w:r w:rsidR="004830E7">
        <w:t xml:space="preserve"> flowering homolog list</w:t>
      </w:r>
      <w:r w:rsidR="00045EB7">
        <w:t>__.</w:t>
      </w:r>
    </w:p>
    <w:p w14:paraId="6833345B" w14:textId="115221D5" w:rsidR="00C30D0C" w:rsidRDefault="00BF7FD8">
      <w:pPr>
        <w:rPr>
          <w:b/>
          <w:bCs/>
        </w:rPr>
      </w:pPr>
      <w:r w:rsidRPr="00BF7FD8">
        <w:rPr>
          <w:b/>
          <w:bCs/>
        </w:rPr>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018F365B" w14:textId="299900BB" w:rsidR="004144D8"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t xml:space="preserve">Extensive </w:t>
      </w:r>
      <w:r w:rsidR="00954192">
        <w:t>work on this subject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w:t>
      </w:r>
      <w:r w:rsidRPr="00E81A33">
        <w:lastRenderedPageBreak/>
        <w:t xml:space="preserve">al., 2010). Day length (or photoperiod) is one of the most predictable cues in nature and plants </w:t>
      </w:r>
      <w:r w:rsidR="00954192">
        <w:t>sense</w:t>
      </w:r>
      <w:r w:rsidRPr="00E81A33">
        <w:t xml:space="preserve"> day length to </w:t>
      </w:r>
      <w:r w:rsidR="00954192">
        <w:t>gauge both</w:t>
      </w:r>
      <w:r w:rsidRPr="00E81A33">
        <w:t xml:space="preserve"> diurnal and seasonal time and to initiate reproductive development at the right time of the year. </w:t>
      </w:r>
      <w:r w:rsidR="004830E7">
        <w:t>The genes which detect photoperiod signals and integrate this response into flowering pathways are largely conserved across species and have been well described (</w:t>
      </w:r>
      <w:proofErr w:type="spellStart"/>
      <w:r w:rsidR="004830E7" w:rsidRPr="004830E7">
        <w:t>Amasino</w:t>
      </w:r>
      <w:proofErr w:type="spellEnd"/>
      <w:r w:rsidR="004830E7" w:rsidRPr="004830E7">
        <w:t xml:space="preserve">, </w:t>
      </w:r>
      <w:proofErr w:type="gramStart"/>
      <w:r w:rsidR="004830E7" w:rsidRPr="004830E7">
        <w:t>2010 ;</w:t>
      </w:r>
      <w:proofErr w:type="gramEnd"/>
      <w:r w:rsidR="004830E7" w:rsidRPr="004830E7">
        <w:t xml:space="preserve">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proofErr w:type="gramStart"/>
      <w:r w:rsidR="00954192" w:rsidRPr="00954192">
        <w:rPr>
          <w:i/>
          <w:iCs/>
        </w:rPr>
        <w:t>Arabidopsis</w:t>
      </w:r>
      <w:r w:rsidR="00954192" w:rsidRPr="00954192">
        <w:t>, and</w:t>
      </w:r>
      <w:proofErr w:type="gramEnd"/>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w:t>
      </w:r>
      <w:proofErr w:type="spellStart"/>
      <w:r w:rsidR="004830E7">
        <w:t>Hayama</w:t>
      </w:r>
      <w:proofErr w:type="spellEnd"/>
      <w:r w:rsidR="004830E7">
        <w:t xml:space="preserve"> et al., 2003)</w:t>
      </w:r>
      <w:r w:rsidRPr="00E81A33">
        <w:t>,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144D8">
        <w:t xml:space="preserve"> </w:t>
      </w:r>
    </w:p>
    <w:p w14:paraId="77913E7A" w14:textId="34205AB6" w:rsidR="007C5A21" w:rsidRPr="007C5A21" w:rsidRDefault="00BF3B0D" w:rsidP="00BF3B0D">
      <w:pPr>
        <w:ind w:firstLine="720"/>
        <w:rPr>
          <w:i/>
          <w:iCs/>
        </w:rPr>
      </w:pPr>
      <w:r>
        <w:t>Distinct</w:t>
      </w:r>
      <w:r w:rsidR="002D5AB7">
        <w:t xml:space="preserve"> genetic responses that are detectable in different environments are known as genotype by environment interactions, or GxE. The methodology commonly employed to study variation in GxE include common gardens and reciprocal transplant experiments between contrasting environments. These methods have been used in wild species to uncover </w:t>
      </w:r>
      <w:r>
        <w:t xml:space="preserve">widely varying genetic responsiveness to photoperiod-cued flowering (Brachi et al 2010; Blackman 2013; Dittmar et al., 2014; Henry et al., 2014; </w:t>
      </w:r>
      <w:proofErr w:type="spellStart"/>
      <w:r>
        <w:t>Agren</w:t>
      </w:r>
      <w:proofErr w:type="spellEnd"/>
      <w:r>
        <w:t xml:space="preserve"> et al 2016). In crop species, altering the timing of flowering has been a major </w:t>
      </w:r>
      <w:r w:rsidR="009C5238">
        <w:t xml:space="preserve">crop improvement strategy to adapt crops for local or future environments (Jung &amp; Müller, 2009). Changing flowering responsiveness to photoperiod cues has allowed geographic range expansion and increased yields in a number of cereal species </w:t>
      </w:r>
      <w:r w:rsidR="009C5238" w:rsidRPr="009C5238">
        <w:t xml:space="preserve">(Turner et al., 2005; Faure et al., 2012; Hung et al., 2012; </w:t>
      </w:r>
      <w:proofErr w:type="spellStart"/>
      <w:r w:rsidR="009C5238" w:rsidRPr="009C5238">
        <w:t>Zakhrabekova</w:t>
      </w:r>
      <w:proofErr w:type="spellEnd"/>
      <w:r w:rsidR="009C5238" w:rsidRPr="009C5238">
        <w:t xml:space="preserve"> et al., 2012; Yang et al., 2013)</w:t>
      </w:r>
      <w:r w:rsidR="002D5AB7">
        <w:t xml:space="preserve"> and other crops (Pin et al., 2012; Weller et al., 2012)</w:t>
      </w:r>
      <w:r w:rsidR="009C5238">
        <w:t>.</w:t>
      </w:r>
      <w:r w:rsidR="005E25C9">
        <w:t xml:space="preserve"> </w:t>
      </w:r>
      <w:r>
        <w:t xml:space="preserve">However, the majority of studies of flowering GxE have used inbreeding, short-lived species. It is not clear whether insights from these species can be extrapolated to species with different life histories.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67259B">
        <w:t xml:space="preserve">environmental plasticity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w:t>
      </w:r>
      <w:proofErr w:type="gramStart"/>
      <w:r w:rsidR="00203580">
        <w:t xml:space="preserve">individuals, </w:t>
      </w:r>
      <w:r w:rsidR="002D5AB7">
        <w:t>and</w:t>
      </w:r>
      <w:proofErr w:type="gramEnd"/>
      <w:r w:rsidR="002D5AB7">
        <w:t xml:space="preserve"> have divergent leaf and whole plant morphologies (</w:t>
      </w:r>
      <w:proofErr w:type="spellStart"/>
      <w:r w:rsidR="002D5AB7">
        <w:t>Casler</w:t>
      </w:r>
      <w:proofErr w:type="spellEnd"/>
      <w:r w:rsidR="002D5AB7">
        <w:t xml:space="preserve"> et al 2007; Lowry et al 2014; </w:t>
      </w:r>
      <w:proofErr w:type="spellStart"/>
      <w:r w:rsidR="002D5AB7">
        <w:t>Casler</w:t>
      </w:r>
      <w:proofErr w:type="spellEnd"/>
      <w:r w:rsidR="002D5AB7">
        <w:t xml:space="preserve">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Genetic differences in flowering date and photoperiod response across these genetic subpopulations will be an early point of exploitation in biomass crop breeding.</w:t>
      </w:r>
    </w:p>
    <w:p w14:paraId="7DFF4020" w14:textId="5FEF71D7" w:rsidR="004144D8" w:rsidRDefault="00A70A2A" w:rsidP="004144D8">
      <w:pPr>
        <w:ind w:firstLine="720"/>
      </w:pPr>
      <w:r>
        <w:lastRenderedPageBreak/>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32C24824" w:rsidR="00E466BF" w:rsidRPr="00723A28" w:rsidRDefault="001B6997" w:rsidP="004144D8">
      <w:pPr>
        <w:rPr>
          <w:b/>
          <w:bCs/>
        </w:rPr>
      </w:pPr>
      <w:r>
        <w:rPr>
          <w:b/>
          <w:bCs/>
        </w:rPr>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08FAD730"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263D55">
        <w:t>, Lovell et al 202X</w:t>
      </w:r>
      <w:r w:rsidR="008934C9">
        <w:t>)</w:t>
      </w:r>
      <w:r w:rsidR="00E9448A">
        <w:t>.</w:t>
      </w:r>
      <w:r w:rsidR="002B031D">
        <w:t xml:space="preserve"> The four northernmost common gardens are located within the natural range of the Midwestern genetic subpopulation, while the three Texas common gardens are located within the natural range of the Gulf subpopulation, and the Oklahoma common garden </w:t>
      </w:r>
      <w:r w:rsidR="00032898">
        <w:t>is located near the natural range limits of both the Gulf and the Midwestern subpopulations.</w:t>
      </w:r>
      <w:r w:rsidR="00E9448A">
        <w:t xml:space="preserve"> </w:t>
      </w:r>
      <w:r w:rsidR="00263D55">
        <w:t>We scored plant green up and flowering at these common gardens every two days</w:t>
      </w:r>
      <w:r w:rsidR="00384C59">
        <w:t>. The Gulf and Midwest</w:t>
      </w:r>
      <w:r w:rsidR="00263D55">
        <w:t xml:space="preserve"> genetic subpopulations had the most distinct phenological responses across our common </w:t>
      </w:r>
      <w:proofErr w:type="gramStart"/>
      <w:r w:rsidR="00263D55">
        <w:t>gardens</w:t>
      </w:r>
      <w:r w:rsidR="0052324B">
        <w:t>,</w:t>
      </w:r>
      <w:r w:rsidR="002B031D">
        <w:t xml:space="preserve"> and</w:t>
      </w:r>
      <w:proofErr w:type="gramEnd"/>
      <w:r w:rsidR="002B031D">
        <w:t xml:space="preserve">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common gardens, Gulf genotypes typically greened up before and flowered after Midwestern </w:t>
      </w:r>
      <w:r w:rsidR="0041698C">
        <w:t>genotypes</w:t>
      </w:r>
      <w:r w:rsidR="00032898">
        <w:t xml:space="preserve">, while at the four northern common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w:t>
      </w:r>
      <w:proofErr w:type="spellStart"/>
      <w:r w:rsidR="0052324B">
        <w:t>greenup</w:t>
      </w:r>
      <w:proofErr w:type="spellEnd"/>
      <w:r w:rsidR="0052324B">
        <w:t xml:space="preserve"> between the four northern and three Texas common gardens and </w:t>
      </w:r>
      <w:r w:rsidR="00384C59">
        <w:t>contributed to</w:t>
      </w:r>
      <w:r w:rsidR="0052324B">
        <w:t xml:space="preserve"> positive phenotypic correlations for flowering time </w:t>
      </w:r>
      <w:r w:rsidR="00BC47FE">
        <w:t xml:space="preserve">which increased at the northern sites </w:t>
      </w:r>
      <w:r w:rsidR="0052324B">
        <w:t>(Figure 1B</w:t>
      </w:r>
      <w:r w:rsidR="00BC47FE">
        <w:t>).</w:t>
      </w:r>
    </w:p>
    <w:p w14:paraId="769D99A3" w14:textId="02BE438C" w:rsidR="00FB492B" w:rsidRDefault="00AC32B9" w:rsidP="00FD4E05">
      <w:r>
        <w:rPr>
          <w:i/>
          <w:iCs/>
        </w:rPr>
        <w:t>Figure 1.</w:t>
      </w:r>
      <w:r w:rsidR="001A47B0">
        <w:rPr>
          <w:i/>
          <w:iCs/>
        </w:rPr>
        <w:t xml:space="preserve"> </w:t>
      </w:r>
      <w:r w:rsidR="00C6280E">
        <w:rPr>
          <w:i/>
          <w:iCs/>
        </w:rPr>
        <w:t>A)</w:t>
      </w:r>
      <w:r w:rsidR="0046160E">
        <w:rPr>
          <w:i/>
          <w:iCs/>
        </w:rPr>
        <w:t xml:space="preserve"> Map and trait histograms</w:t>
      </w:r>
      <w:r w:rsidR="00390283">
        <w:rPr>
          <w:i/>
          <w:iCs/>
        </w:rPr>
        <w:t xml:space="preserve"> of </w:t>
      </w:r>
      <w:proofErr w:type="spellStart"/>
      <w:r w:rsidR="00390283">
        <w:rPr>
          <w:i/>
          <w:iCs/>
        </w:rPr>
        <w:t>greenup</w:t>
      </w:r>
      <w:proofErr w:type="spellEnd"/>
      <w:r w:rsidR="00390283">
        <w:rPr>
          <w:i/>
          <w:iCs/>
        </w:rPr>
        <w:t xml:space="preserve"> and flowering dates across two genetically distinct switchgrass subpopulations</w:t>
      </w:r>
      <w:r w:rsidR="00AA7898">
        <w:rPr>
          <w:i/>
          <w:iCs/>
        </w:rPr>
        <w:t xml:space="preserve"> </w:t>
      </w:r>
      <w:r w:rsidR="009D7E32">
        <w:rPr>
          <w:i/>
          <w:iCs/>
        </w:rPr>
        <w:t>and</w:t>
      </w:r>
      <w:r w:rsidR="00AA7898">
        <w:rPr>
          <w:i/>
          <w:iCs/>
        </w:rPr>
        <w:t xml:space="preserve">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w:t>
      </w:r>
      <w:r w:rsidR="00E22A87">
        <w:rPr>
          <w:i/>
          <w:iCs/>
        </w:rPr>
        <w:t xml:space="preserve">genetic </w:t>
      </w:r>
      <w:r w:rsidR="00AA7898">
        <w:rPr>
          <w:i/>
          <w:iCs/>
        </w:rPr>
        <w:t xml:space="preserve">subpopulation, and pink </w:t>
      </w:r>
      <w:r w:rsidR="00B72807">
        <w:rPr>
          <w:i/>
          <w:iCs/>
        </w:rPr>
        <w:t xml:space="preserve">individuals from </w:t>
      </w:r>
      <w:r w:rsidR="00AA7898">
        <w:rPr>
          <w:i/>
          <w:iCs/>
        </w:rPr>
        <w:t>the Gulf subpopulation. Vertical dashed line</w:t>
      </w:r>
      <w:r w:rsidR="00E22A87">
        <w:rPr>
          <w:i/>
          <w:iCs/>
        </w:rPr>
        <w:t>s</w:t>
      </w:r>
      <w:r w:rsidR="00AA7898">
        <w:rPr>
          <w:i/>
          <w:iCs/>
        </w:rPr>
        <w:t xml:space="preserve"> indicate</w:t>
      </w:r>
      <w:r w:rsidR="00E22A87">
        <w:rPr>
          <w:i/>
          <w:iCs/>
        </w:rPr>
        <w:t xml:space="preserve"> </w:t>
      </w:r>
      <w:r w:rsidR="00AA7898">
        <w:rPr>
          <w:i/>
          <w:iCs/>
        </w:rPr>
        <w:t>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Pr>
          <w:i/>
          <w:iCs/>
        </w:rPr>
        <w:t xml:space="preserve">Narrow sense heritability of </w:t>
      </w:r>
      <w:proofErr w:type="spellStart"/>
      <w:r>
        <w:rPr>
          <w:i/>
          <w:iCs/>
        </w:rPr>
        <w:t>greenup</w:t>
      </w:r>
      <w:proofErr w:type="spellEnd"/>
      <w:r>
        <w:rPr>
          <w:i/>
          <w:iCs/>
        </w:rPr>
        <w:t xml:space="preserve"> and flowering within single common gardens </w:t>
      </w:r>
      <w:r w:rsidR="001A47B0">
        <w:rPr>
          <w:i/>
          <w:iCs/>
        </w:rPr>
        <w:t xml:space="preserve">(purple) </w:t>
      </w:r>
      <w:r>
        <w:rPr>
          <w:i/>
          <w:iCs/>
        </w:rPr>
        <w:t>and across all eight common gardens</w:t>
      </w:r>
      <w:r w:rsidR="001A47B0">
        <w:rPr>
          <w:i/>
          <w:iCs/>
        </w:rPr>
        <w:t xml:space="preserve"> (green)</w:t>
      </w:r>
      <w:r w:rsidR="007E4C5F">
        <w:rPr>
          <w:i/>
          <w:iCs/>
        </w:rPr>
        <w:t>, within and between two genetic subpopulations</w:t>
      </w:r>
      <w:r w:rsidR="00E22A87">
        <w:rPr>
          <w:i/>
          <w:iCs/>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w:t>
      </w:r>
      <w:r w:rsidR="00E22A87">
        <w:rPr>
          <w:i/>
          <w:iCs/>
        </w:rPr>
        <w:lastRenderedPageBreak/>
        <w:t xml:space="preserve">function of Julian date. </w:t>
      </w:r>
      <w:r w:rsidR="0046160E">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4F3AD4A7" w:rsidR="0052324B" w:rsidRPr="005D2E94" w:rsidRDefault="0052324B" w:rsidP="0052324B">
      <w:pPr>
        <w:ind w:firstLine="720"/>
      </w:pPr>
      <w:r>
        <w:t xml:space="preserve">We determined </w:t>
      </w:r>
      <w:proofErr w:type="gramStart"/>
      <w:r w:rsidR="00D807FC">
        <w:t>n</w:t>
      </w:r>
      <w:r>
        <w:t>arrow-sense</w:t>
      </w:r>
      <w:proofErr w:type="gramEnd"/>
      <w:r>
        <w:t xml:space="preserve"> </w:t>
      </w:r>
      <w:proofErr w:type="spellStart"/>
      <w:r>
        <w:t>heritabilities</w:t>
      </w:r>
      <w:proofErr w:type="spellEnd"/>
      <w:r>
        <w:t xml:space="preserve"> (h</w:t>
      </w:r>
      <w:r>
        <w:rPr>
          <w:vertAlign w:val="superscript"/>
        </w:rPr>
        <w:t>2</w:t>
      </w:r>
      <w:r>
        <w:t>)</w:t>
      </w:r>
      <w:r>
        <w:rPr>
          <w:vertAlign w:val="superscript"/>
        </w:rPr>
        <w:t xml:space="preserve"> </w:t>
      </w:r>
      <w:r>
        <w:t xml:space="preserve">for </w:t>
      </w:r>
      <w:proofErr w:type="spellStart"/>
      <w:r>
        <w:t>greenup</w:t>
      </w:r>
      <w:proofErr w:type="spellEnd"/>
      <w:r>
        <w:t xml:space="preserve"> and flowering dates at single gardens and across all eight common gardens (Figure 1C). To allow for the possibility that different subpopulations</w:t>
      </w:r>
      <w:r w:rsidR="00D807FC">
        <w:t xml:space="preserve"> </w:t>
      </w:r>
      <w:r>
        <w:t>had different strengths of connection between these phenotypes and the genotypes (Korte and Farlow 2013), we determined h</w:t>
      </w:r>
      <w:r>
        <w:rPr>
          <w:vertAlign w:val="superscript"/>
        </w:rPr>
        <w:t>2</w:t>
      </w:r>
      <w:r>
        <w:t xml:space="preserve"> both within and across the Midwestern and Gulf subpopulations. </w:t>
      </w:r>
      <w:r w:rsidR="00577600">
        <w:t>At individual</w:t>
      </w:r>
      <w:r>
        <w:t xml:space="preserve"> gardens, h</w:t>
      </w:r>
      <w:r>
        <w:rPr>
          <w:vertAlign w:val="superscript"/>
        </w:rPr>
        <w:t>2</w:t>
      </w:r>
      <w:r>
        <w:t xml:space="preserve"> were typically quite high: </w:t>
      </w:r>
      <w:r w:rsidR="00F957C3">
        <w:t>5</w:t>
      </w:r>
      <w:r w:rsidR="00934EA3">
        <w:t>9</w:t>
      </w:r>
      <w:r>
        <w:t xml:space="preserve">% on average for </w:t>
      </w:r>
      <w:proofErr w:type="spellStart"/>
      <w:r>
        <w:t>greenup</w:t>
      </w:r>
      <w:proofErr w:type="spellEnd"/>
      <w:r>
        <w:t xml:space="preserve"> date, and 8</w:t>
      </w:r>
      <w:r w:rsidR="00934EA3">
        <w:t>7</w:t>
      </w:r>
      <w:r>
        <w:t>% for flowering date. However, h</w:t>
      </w:r>
      <w:r>
        <w:rPr>
          <w:vertAlign w:val="superscript"/>
        </w:rPr>
        <w:t>2</w:t>
      </w:r>
      <w:r>
        <w:t xml:space="preserve"> </w:t>
      </w:r>
      <w:r w:rsidR="00577600">
        <w:t>were variable across common gardens</w:t>
      </w:r>
      <w:r>
        <w:t xml:space="preserve">, </w:t>
      </w:r>
      <w:r w:rsidR="00BC47FE">
        <w:t>particularly</w:t>
      </w:r>
      <w:r>
        <w:t xml:space="preserve"> for </w:t>
      </w:r>
      <w:proofErr w:type="spellStart"/>
      <w:r>
        <w:t>greenup</w:t>
      </w:r>
      <w:proofErr w:type="spellEnd"/>
      <w:r>
        <w:t xml:space="preserve"> at our OK and NE common gardens. Greenup dates at these sites were uncorrelated </w:t>
      </w:r>
      <w:r w:rsidR="00BC47FE">
        <w:t xml:space="preserve">or negatively </w:t>
      </w:r>
      <w:r w:rsidR="00BC47FE">
        <w:lastRenderedPageBreak/>
        <w:t xml:space="preserve">correlated </w:t>
      </w:r>
      <w:r>
        <w:t xml:space="preserve">with </w:t>
      </w:r>
      <w:proofErr w:type="spellStart"/>
      <w:r>
        <w:t>greenup</w:t>
      </w:r>
      <w:proofErr w:type="spellEnd"/>
      <w:r>
        <w:t xml:space="preserve"> dates for clonal replicates at other sites (Figure 1B). These negative and small correlations undoubtedly contributed to the low h</w:t>
      </w:r>
      <w:r>
        <w:rPr>
          <w:vertAlign w:val="superscript"/>
        </w:rPr>
        <w:t>2</w:t>
      </w:r>
      <w:r>
        <w:t xml:space="preserve"> values for </w:t>
      </w:r>
      <w:proofErr w:type="spellStart"/>
      <w:r>
        <w:t>greenup</w:t>
      </w:r>
      <w:proofErr w:type="spellEnd"/>
      <w:r>
        <w:t xml:space="preserve"> and flowering date across all eight sites: h</w:t>
      </w:r>
      <w:r>
        <w:rPr>
          <w:vertAlign w:val="superscript"/>
        </w:rPr>
        <w:t>2</w:t>
      </w:r>
      <w:r>
        <w:t xml:space="preserve"> was </w:t>
      </w:r>
      <w:r w:rsidR="00BC47FE">
        <w:t>0.</w:t>
      </w:r>
      <w:r w:rsidR="00581C71">
        <w:t>8</w:t>
      </w:r>
      <w:r>
        <w:t xml:space="preserve">% for </w:t>
      </w:r>
      <w:proofErr w:type="spellStart"/>
      <w:r>
        <w:t>greenup</w:t>
      </w:r>
      <w:proofErr w:type="spellEnd"/>
      <w:r>
        <w:t xml:space="preserve"> and </w:t>
      </w:r>
      <w:r w:rsidR="00581C71">
        <w:t>23.2</w:t>
      </w:r>
      <w:r>
        <w:t>% for flowering date</w:t>
      </w:r>
      <w:r w:rsidR="00581C71">
        <w:t xml:space="preserve"> across both subpopulations</w:t>
      </w:r>
      <w:r>
        <w:t>. These data indicated the presence of numerous rank-changing genotype by environment interactions for these phenotypes across these common gardens.</w:t>
      </w:r>
    </w:p>
    <w:p w14:paraId="7AE69B1E" w14:textId="3AE71E30" w:rsidR="0078762E" w:rsidRDefault="002C4F58" w:rsidP="002A616B">
      <w:pPr>
        <w:ind w:firstLine="720"/>
      </w:pPr>
      <w:r>
        <w:t>Though w</w:t>
      </w:r>
      <w:r w:rsidR="007C5A21">
        <w:t xml:space="preserve">e </w:t>
      </w:r>
      <w:r w:rsidR="00177EE0">
        <w:t>scored</w:t>
      </w:r>
      <w:r w:rsidR="007C5A21">
        <w:t xml:space="preserve"> </w:t>
      </w:r>
      <w:proofErr w:type="spellStart"/>
      <w:r w:rsidR="001D5AD0">
        <w:t>greenup</w:t>
      </w:r>
      <w:proofErr w:type="spellEnd"/>
      <w:r w:rsidR="001D5AD0">
        <w:t xml:space="preserve">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w:t>
      </w:r>
      <w:proofErr w:type="spellStart"/>
      <w:r w:rsidR="005E25C9" w:rsidRPr="00CB22A9">
        <w:t>Casler</w:t>
      </w:r>
      <w:proofErr w:type="spellEnd"/>
      <w:r w:rsidR="005E25C9" w:rsidRPr="00CB22A9">
        <w:t xml:space="preserve"> 2012</w:t>
      </w:r>
      <w:r w:rsidR="00CB22A9" w:rsidRPr="00CB22A9">
        <w:t xml:space="preserve">, Hartman et al 2012, Hartman &amp; </w:t>
      </w:r>
      <w:proofErr w:type="spellStart"/>
      <w:r w:rsidR="00CB22A9" w:rsidRPr="00CB22A9">
        <w:t>Nippert</w:t>
      </w:r>
      <w:proofErr w:type="spellEnd"/>
      <w:r w:rsidR="00CB22A9" w:rsidRPr="00CB22A9">
        <w:t xml:space="preserve"> 2012</w:t>
      </w:r>
      <w:r w:rsidR="008E30F5" w:rsidRPr="00CB22A9">
        <w:t>)</w:t>
      </w:r>
      <w:r w:rsidR="007C5A21" w:rsidRPr="00CB22A9">
        <w:t>.</w:t>
      </w:r>
      <w:r w:rsidR="007C5A21">
        <w:t xml:space="preserve"> To evaluate these cues as genetic triggers of flowering, we defined </w:t>
      </w:r>
      <w:proofErr w:type="spellStart"/>
      <w:r w:rsidR="00741398">
        <w:t>greenup</w:t>
      </w:r>
      <w:proofErr w:type="spellEnd"/>
      <w:r w:rsidR="00741398">
        <w:t xml:space="preserve">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northern four common gardens (North) and at the three Texas common gardens</w:t>
      </w:r>
      <w:r w:rsidR="000E1A44">
        <w:t xml:space="preserve"> (Texas)</w:t>
      </w:r>
      <w:r w:rsidR="00590B20">
        <w:t>.</w:t>
      </w:r>
    </w:p>
    <w:p w14:paraId="63C6629E" w14:textId="18464429" w:rsidR="008F7A3E" w:rsidRDefault="009769D6" w:rsidP="00445456">
      <w:pPr>
        <w:ind w:firstLine="720"/>
      </w:pPr>
      <w:r>
        <w:t xml:space="preserve">Across all eight common gardens, </w:t>
      </w:r>
      <w:proofErr w:type="spellStart"/>
      <w:r>
        <w:t>greenup</w:t>
      </w:r>
      <w:proofErr w:type="spellEnd"/>
      <w:r>
        <w:t xml:space="preserve"> date had low </w:t>
      </w:r>
      <w:r w:rsidR="000E1A44">
        <w:t xml:space="preserve">G </w:t>
      </w:r>
      <w:r>
        <w:t>and low GxE</w:t>
      </w:r>
      <w:r w:rsidR="00445456">
        <w:t xml:space="preserve"> (&lt;10%)</w:t>
      </w:r>
      <w:r>
        <w:t xml:space="preserve">, and the G and GxE values were not </w:t>
      </w:r>
      <w:r w:rsidR="00FB7146">
        <w:t xml:space="preserve">substantially improved by defining </w:t>
      </w:r>
      <w:proofErr w:type="spellStart"/>
      <w:r w:rsidR="00FB7146">
        <w:t>greenup</w:t>
      </w:r>
      <w:proofErr w:type="spellEnd"/>
      <w:r w:rsidR="00FB7146">
        <w:t xml:space="preserve"> as functions of weather-based cues (Supplementary Figure/Table).</w:t>
      </w:r>
      <w:r w:rsidR="00445456">
        <w:t xml:space="preserve"> </w:t>
      </w:r>
      <w:r w:rsidR="00D862AA">
        <w:t xml:space="preserve">G and GxE estimates for </w:t>
      </w:r>
      <w:proofErr w:type="spellStart"/>
      <w:r w:rsidR="00D862AA">
        <w:t>greenup</w:t>
      </w:r>
      <w:proofErr w:type="spellEnd"/>
      <w:r w:rsidR="00D862AA">
        <w:t xml:space="preserve"> date were </w:t>
      </w:r>
      <w:r w:rsidR="00581C71">
        <w:t>significantly</w:t>
      </w:r>
      <w:r w:rsidR="00D862AA">
        <w:t xml:space="preserve"> higher </w:t>
      </w:r>
      <w:r w:rsidR="00547E2C">
        <w:t>when the sites were restricted to either Texas or the Northern four sites (Supplemental Figure).</w:t>
      </w:r>
      <w:r w:rsidR="00D862AA">
        <w:t xml:space="preserve"> G and GxE estimates </w:t>
      </w:r>
      <w:r w:rsidR="004B4258">
        <w:t xml:space="preserve">for </w:t>
      </w:r>
      <w:proofErr w:type="spellStart"/>
      <w:r w:rsidR="004B4258">
        <w:t>greenup</w:t>
      </w:r>
      <w:proofErr w:type="spellEnd"/>
      <w:r w:rsidR="004B4258">
        <w:t xml:space="preserve"> were higher for the Gulf subpopulation than for the Midwest, and higher outside of each subpopulation</w:t>
      </w:r>
      <w:r w:rsidR="000E1A44">
        <w:t>’</w:t>
      </w:r>
      <w:r w:rsidR="004B4258">
        <w:t xml:space="preserve">s native range than within its native range (Supplementary Figure). </w:t>
      </w:r>
      <w:r w:rsidR="00581C71">
        <w:t xml:space="preserve">However, the variance </w:t>
      </w:r>
      <w:r w:rsidR="000E1A44">
        <w:t>attributed to</w:t>
      </w:r>
      <w:r w:rsidR="00581C71">
        <w:t xml:space="preserve"> G and GxE w</w:t>
      </w:r>
      <w:r w:rsidR="000E1A44">
        <w:t>as</w:t>
      </w:r>
      <w:r w:rsidR="00581C71">
        <w:t xml:space="preserve"> only improved for one subpopulation at one site subset: </w:t>
      </w:r>
      <w:r w:rsidR="009D2D00">
        <w:t xml:space="preserve">cumulative </w:t>
      </w:r>
      <w:r w:rsidR="004B4258">
        <w:t xml:space="preserve">GDD </w:t>
      </w:r>
      <w:r w:rsidR="00250461">
        <w:t xml:space="preserve">in the </w:t>
      </w:r>
      <w:r w:rsidR="004B4258">
        <w:t xml:space="preserve">5 days before </w:t>
      </w:r>
      <w:proofErr w:type="spellStart"/>
      <w:r w:rsidR="004B4258">
        <w:t>greenup</w:t>
      </w:r>
      <w:proofErr w:type="spellEnd"/>
      <w:r w:rsidR="004B4258">
        <w:t xml:space="preserve"> explained more variance </w:t>
      </w:r>
      <w:r w:rsidR="00701E0F">
        <w:t xml:space="preserve">than </w:t>
      </w:r>
      <w:proofErr w:type="spellStart"/>
      <w:r w:rsidR="00701E0F">
        <w:t>greenup</w:t>
      </w:r>
      <w:proofErr w:type="spellEnd"/>
      <w:r w:rsidR="00701E0F">
        <w:t xml:space="preserve"> date </w:t>
      </w:r>
      <w:r w:rsidR="004B4258">
        <w:t xml:space="preserve">for the Midwest subpopulation </w:t>
      </w:r>
      <w:r w:rsidR="006B248D">
        <w:t>in the North</w:t>
      </w:r>
      <w:r w:rsidR="004B4258">
        <w:t xml:space="preserve">. For other combinations of subpopulations and site subsets, </w:t>
      </w:r>
      <w:proofErr w:type="spellStart"/>
      <w:r w:rsidR="004B4258">
        <w:t>greenup</w:t>
      </w:r>
      <w:proofErr w:type="spellEnd"/>
      <w:r w:rsidR="004B4258">
        <w:t xml:space="preserve"> date outperformed </w:t>
      </w:r>
      <w:proofErr w:type="spellStart"/>
      <w:r w:rsidR="004B4258">
        <w:t>greenup</w:t>
      </w:r>
      <w:proofErr w:type="spellEnd"/>
      <w:r w:rsidR="004B4258">
        <w:t xml:space="preserve"> as functions of weather. </w:t>
      </w:r>
      <w:r w:rsidR="002229F9">
        <w:t xml:space="preserve">This result likely indicates that the weather functions we chose are </w:t>
      </w:r>
      <w:r w:rsidR="004B4258">
        <w:t xml:space="preserve">not cuing </w:t>
      </w:r>
      <w:proofErr w:type="spellStart"/>
      <w:r w:rsidR="004B4258">
        <w:t>greenup</w:t>
      </w:r>
      <w:proofErr w:type="spellEnd"/>
      <w:r w:rsidR="004B4258">
        <w:t xml:space="preserve">. </w:t>
      </w:r>
      <w:r w:rsidR="002229F9">
        <w:t xml:space="preserve">Additional signals such as soil temperatures or chilling days may influence </w:t>
      </w:r>
      <w:proofErr w:type="spellStart"/>
      <w:r w:rsidR="002229F9">
        <w:t>greenup</w:t>
      </w:r>
      <w:proofErr w:type="spellEnd"/>
      <w:r w:rsidR="002229F9">
        <w:t xml:space="preserve"> for each subpopulation within its native range; however, we did not have good proxies for these values for this experiment.</w:t>
      </w:r>
    </w:p>
    <w:p w14:paraId="3D48899C" w14:textId="027A2087" w:rsidR="00741E58" w:rsidRDefault="00D862AA" w:rsidP="00973DCA">
      <w:pPr>
        <w:ind w:firstLine="720"/>
      </w:pPr>
      <w:r>
        <w:t>In contrast</w:t>
      </w:r>
      <w:r w:rsidR="009769D6">
        <w:t xml:space="preserve"> to </w:t>
      </w:r>
      <w:proofErr w:type="spellStart"/>
      <w:r w:rsidR="009769D6">
        <w:t>greenup</w:t>
      </w:r>
      <w:proofErr w:type="spellEnd"/>
      <w:r w:rsidR="009769D6">
        <w:t xml:space="preserve"> date, flowering date had moderate </w:t>
      </w:r>
      <w:r w:rsidR="002B1044">
        <w:t>G and GxE</w:t>
      </w:r>
      <w:r w:rsidR="0074227B">
        <w:t>, and these values were significantly increased by defining flowering as functions of weather based environmental cues (Figure 1D). In the Gulf subpopulation, daylength 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CC31A5">
        <w:t>cumulative GDD explained more G</w:t>
      </w:r>
      <w:r w:rsidR="005C5A80">
        <w:t xml:space="preserve"> (5.8% +/- 2.8% vs 23.8% +/- 6.1%)</w:t>
      </w:r>
      <w:r w:rsidR="00CC31A5">
        <w:t xml:space="preserve">, while three additional cues, daylength, rainfall between </w:t>
      </w:r>
      <w:proofErr w:type="spellStart"/>
      <w:r w:rsidR="00CC31A5">
        <w:t>greenup</w:t>
      </w:r>
      <w:proofErr w:type="spellEnd"/>
      <w:r w:rsidR="00CC31A5">
        <w:t xml:space="preserve"> and flowering, and rainfall in the five days before flowering, explained more G and GxE</w:t>
      </w:r>
      <w:r w:rsidR="005C5A80">
        <w:t xml:space="preserve"> (Figure 1D)</w:t>
      </w:r>
      <w:r w:rsidR="00CC31A5">
        <w:t xml:space="preserve">. </w:t>
      </w:r>
      <w:r w:rsidR="0074227B">
        <w:t xml:space="preserve">G and GxE estimates were also higher when the common gardens were restricted to either Texas or the North.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r>
        <w:rPr>
          <w:i/>
          <w:iCs/>
        </w:rPr>
        <w:lastRenderedPageBreak/>
        <w:t>Genetic effects of</w:t>
      </w:r>
      <w:r w:rsidR="00020495">
        <w:rPr>
          <w:i/>
          <w:iCs/>
        </w:rPr>
        <w:t xml:space="preserve"> </w:t>
      </w:r>
      <w:proofErr w:type="spellStart"/>
      <w:r w:rsidR="00020495">
        <w:rPr>
          <w:i/>
          <w:iCs/>
        </w:rPr>
        <w:t>greenup</w:t>
      </w:r>
      <w:proofErr w:type="spellEnd"/>
      <w:r w:rsidR="00020495">
        <w:rPr>
          <w:i/>
          <w:iCs/>
        </w:rPr>
        <w:t xml:space="preserve"> and flowering as functions of environmental cues</w:t>
      </w:r>
    </w:p>
    <w:p w14:paraId="34421DEF" w14:textId="49FBDCFC" w:rsidR="009F697B" w:rsidRDefault="00177EE0" w:rsidP="009F697B">
      <w:r>
        <w:tab/>
      </w:r>
      <w:r w:rsidR="000F364E">
        <w:t>Across our eight common gardens, we</w:t>
      </w:r>
      <w:r w:rsidR="006279C0">
        <w:t xml:space="preserve"> observed</w:t>
      </w:r>
      <w:r w:rsidR="000F364E">
        <w:t xml:space="preserve"> heritable genetic variation for two distinct flowering time cues, and little heritable genetic variation for </w:t>
      </w:r>
      <w:proofErr w:type="spellStart"/>
      <w:r w:rsidR="006279C0">
        <w:t>greenup</w:t>
      </w:r>
      <w:proofErr w:type="spellEnd"/>
      <w:r w:rsidR="006279C0">
        <w:t xml:space="preserve"> date. </w:t>
      </w:r>
      <w:r>
        <w:t xml:space="preserve">We </w:t>
      </w:r>
      <w:r w:rsidR="006279C0">
        <w:t xml:space="preserve">therefore </w:t>
      </w:r>
      <w:r>
        <w:t>evaluated</w:t>
      </w:r>
      <w:r w:rsidR="008945E9">
        <w:t xml:space="preserve"> </w:t>
      </w:r>
      <w:r w:rsidR="005F664E">
        <w:t>consistent genetic associations</w:t>
      </w:r>
      <w:r w:rsidR="008945E9">
        <w:t xml:space="preserve"> for flowering</w:t>
      </w:r>
      <w:r w:rsidR="006279C0">
        <w:t xml:space="preserve"> </w:t>
      </w:r>
      <w:r w:rsidR="009F697B">
        <w:t xml:space="preserve">across all eight sites </w:t>
      </w:r>
      <w:r w:rsidR="003B3194">
        <w:t xml:space="preserve">as functions </w:t>
      </w:r>
      <w:r w:rsidR="002E767E">
        <w:t xml:space="preserve">of two flowering time cues, </w:t>
      </w:r>
      <w:r w:rsidR="003B3194">
        <w:t xml:space="preserve">daylength at flowering and GDD between </w:t>
      </w:r>
      <w:proofErr w:type="spellStart"/>
      <w:r w:rsidR="003B3194">
        <w:t>greenup</w:t>
      </w:r>
      <w:proofErr w:type="spellEnd"/>
      <w:r w:rsidR="003B3194">
        <w:t xml:space="preserve"> and flowering</w:t>
      </w:r>
      <w:r w:rsidR="005F664E">
        <w:t xml:space="preserv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rsidR="009F697B">
        <w:t>.</w:t>
      </w:r>
      <w:r w:rsidR="005F664E">
        <w:t xml:space="preserve"> </w:t>
      </w:r>
      <w:r w:rsidR="00FC601D">
        <w:t xml:space="preserve">In addition, we evaluated consistent genetic associations for flowering across two site subsets, the “Texas” </w:t>
      </w:r>
      <w:proofErr w:type="gramStart"/>
      <w:r w:rsidR="00FC601D">
        <w:t>gardens</w:t>
      </w:r>
      <w:proofErr w:type="gramEnd"/>
      <w:r w:rsidR="00FC601D">
        <w:t xml:space="preserve"> and the “North” gardens, which corresponded to the home ranges of the Gulf and Midwest subpopulations, respectively. </w:t>
      </w:r>
      <w:r w:rsidR="00B629D6">
        <w:t xml:space="preserve">Strikingly, across both subpopulations, flowering as a function of daylength had stronger associations in Texas, and flowering as a function of GDD had stronger associations in the North (Figure 2). </w:t>
      </w:r>
      <w:r w:rsidR="00994DC4">
        <w:t xml:space="preserve"> </w:t>
      </w:r>
    </w:p>
    <w:p w14:paraId="57DDF56C" w14:textId="0FA396CE" w:rsidR="00B629D6" w:rsidRDefault="005F664E" w:rsidP="00FC601D">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t>X,XXX</w:t>
      </w:r>
      <w:r w:rsidRPr="003F5261">
        <w:t xml:space="preserve"> </w:t>
      </w:r>
      <w:r>
        <w:t>univariate GWAS peaks into Y,YYY 20kb regions, for genetic effects at all gardens (</w:t>
      </w:r>
      <w:proofErr w:type="spellStart"/>
      <w:r>
        <w:t>n</w:t>
      </w:r>
      <w:r>
        <w:rPr>
          <w:vertAlign w:val="subscript"/>
        </w:rPr>
        <w:t>regions</w:t>
      </w:r>
      <w:proofErr w:type="spellEnd"/>
      <w:r>
        <w:t>=xxx), north gardens (</w:t>
      </w:r>
      <w:proofErr w:type="spellStart"/>
      <w:r>
        <w:t>n</w:t>
      </w:r>
      <w:r>
        <w:rPr>
          <w:vertAlign w:val="subscript"/>
        </w:rPr>
        <w:t>regions</w:t>
      </w:r>
      <w:proofErr w:type="spellEnd"/>
      <w:r>
        <w:t>=xxx), and Texas gardens (</w:t>
      </w:r>
      <w:proofErr w:type="spellStart"/>
      <w:r>
        <w:t>n</w:t>
      </w:r>
      <w:r>
        <w:rPr>
          <w:vertAlign w:val="subscript"/>
        </w:rPr>
        <w:t>regions</w:t>
      </w:r>
      <w:proofErr w:type="spellEnd"/>
      <w:r>
        <w:t xml:space="preserve">=xxx). 20kb represents the inflection point where linkage disequilibrium decay flattens in this species (Lovell et al., 202X). </w:t>
      </w:r>
      <w:r w:rsidR="00CF5E93">
        <w:t>Numerous 20kb regions had associations above a 10% FDR in multiple flowering GWAS: 22 had associations in five or more GWAS</w:t>
      </w:r>
      <w:r w:rsidR="00B629D6">
        <w:t xml:space="preserve"> (Figure 2)</w:t>
      </w:r>
      <w:r w:rsidR="00CF5E93">
        <w:t xml:space="preserve">. </w:t>
      </w:r>
      <w:r w:rsidR="009721BC">
        <w:t xml:space="preserve">Though </w:t>
      </w:r>
      <w:r w:rsidR="00510872">
        <w:t>it seems certain that many of these overlaps were</w:t>
      </w:r>
      <w:r w:rsidR="009721BC">
        <w:t xml:space="preserve"> caused by GWAS on highly correlated phenotypic measurements and overlapping site or genotype sets, these regions may still underlie consistent genetic effects detectable across the species’ natural range. </w:t>
      </w:r>
      <w:r w:rsidR="00B629D6">
        <w:t>The majority affected both phenotypes across both subpopulations and in the Gulf subpopulation, at all eight common gardens and at the Texas gardens.  Exceptions included Chr03K</w:t>
      </w:r>
      <w:r w:rsidR="00610170">
        <w:t xml:space="preserve"> at 37.53Mb</w:t>
      </w:r>
      <w:r w:rsidR="00B629D6">
        <w:t xml:space="preserve">, which </w:t>
      </w:r>
      <w:r w:rsidR="00610170">
        <w:t>was also significant for</w:t>
      </w:r>
      <w:r w:rsidR="00B629D6">
        <w:t xml:space="preserve"> the Midwest subpopulation at the Texas gardens</w:t>
      </w:r>
      <w:r w:rsidR="00610170">
        <w:t xml:space="preserve">; Chr05N at 64.86 Mb, which was significant </w:t>
      </w:r>
      <w:r w:rsidR="00221FC8">
        <w:t xml:space="preserve">across subpopulations </w:t>
      </w:r>
      <w:r w:rsidR="00610170">
        <w:t xml:space="preserve">at all three sets of gardens; </w:t>
      </w:r>
      <w:r w:rsidR="00B629D6">
        <w:t xml:space="preserve">Chr06K at 36.38Mb, which </w:t>
      </w:r>
      <w:r w:rsidR="00610170">
        <w:t>was significant for the</w:t>
      </w:r>
      <w:r w:rsidR="00B629D6">
        <w:t xml:space="preserve"> Midwest subpopulation at all eight gardens</w:t>
      </w:r>
      <w:r w:rsidR="001C56C3">
        <w:t xml:space="preserve"> and</w:t>
      </w:r>
      <w:r w:rsidR="00B629D6">
        <w:t xml:space="preserve"> the North gardens; </w:t>
      </w:r>
      <w:r w:rsidR="001C56C3">
        <w:t xml:space="preserve">Chr08N at 28.50 Mb, which affected daylength for all three </w:t>
      </w:r>
      <w:r w:rsidR="00221FC8">
        <w:t>population sets</w:t>
      </w:r>
      <w:r w:rsidR="001C56C3">
        <w:t xml:space="preserve"> in the North gardens; and </w:t>
      </w:r>
      <w:r w:rsidR="00B629D6">
        <w:t>Chr09N</w:t>
      </w:r>
      <w:r w:rsidR="001C56C3">
        <w:t xml:space="preserve"> at 16.48 Mb</w:t>
      </w:r>
      <w:r w:rsidR="00B629D6">
        <w:t xml:space="preserve">, which </w:t>
      </w:r>
      <w:r w:rsidR="001C56C3">
        <w:t>was significant</w:t>
      </w:r>
      <w:r w:rsidR="00B629D6">
        <w:t xml:space="preserve"> </w:t>
      </w:r>
      <w:r w:rsidR="001C56C3">
        <w:t xml:space="preserve">across subpopulations </w:t>
      </w:r>
      <w:r w:rsidR="00B629D6">
        <w:t>at all three sets of gardens</w:t>
      </w:r>
      <w:r w:rsidR="00221FC8">
        <w:t>.</w:t>
      </w:r>
    </w:p>
    <w:p w14:paraId="11DD0513" w14:textId="68E8115F" w:rsidR="00FC601D" w:rsidRDefault="00D31D2C" w:rsidP="00FC601D">
      <w:pPr>
        <w:pBdr>
          <w:top w:val="nil"/>
          <w:left w:val="nil"/>
          <w:bottom w:val="nil"/>
          <w:right w:val="nil"/>
          <w:between w:val="nil"/>
        </w:pBdr>
        <w:spacing w:after="120"/>
        <w:ind w:firstLine="720"/>
      </w:pPr>
      <w:r>
        <w:t>___</w:t>
      </w:r>
      <w:r w:rsidR="00FC601D">
        <w:t>Were these regions enriched for flowering gene homologs?</w:t>
      </w:r>
      <w:r w:rsidR="00E153A4">
        <w:t xml:space="preserve"> </w:t>
      </w:r>
      <w:proofErr w:type="spellStart"/>
      <w:r w:rsidR="00E153A4">
        <w:t>Xiaoyu’s</w:t>
      </w:r>
      <w:proofErr w:type="spellEnd"/>
      <w:r w:rsidR="00E153A4">
        <w:t xml:space="preserve"> </w:t>
      </w:r>
      <w:proofErr w:type="gramStart"/>
      <w:r w:rsidR="00E153A4">
        <w:t>data.</w:t>
      </w:r>
      <w:r>
        <w:t>_</w:t>
      </w:r>
      <w:proofErr w:type="gramEnd"/>
      <w:r>
        <w:t>__</w:t>
      </w:r>
    </w:p>
    <w:p w14:paraId="5B71B50E" w14:textId="45A4D885" w:rsidR="00804FBF" w:rsidRPr="000B6DF9" w:rsidRDefault="00221FC8" w:rsidP="007500CC">
      <w:pPr>
        <w:rPr>
          <w:i/>
          <w:iCs/>
        </w:rPr>
      </w:pPr>
      <w:r>
        <w:rPr>
          <w:noProof/>
        </w:rPr>
        <w:lastRenderedPageBreak/>
        <w:drawing>
          <wp:anchor distT="0" distB="0" distL="114300" distR="114300" simplePos="0" relativeHeight="251683840" behindDoc="0" locked="0" layoutInCell="1" allowOverlap="1" wp14:anchorId="34CCDFD2" wp14:editId="60133B95">
            <wp:simplePos x="0" y="0"/>
            <wp:positionH relativeFrom="margin">
              <wp:align>left</wp:align>
            </wp:positionH>
            <wp:positionV relativeFrom="paragraph">
              <wp:posOffset>944880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3E07FE" w:rsidRPr="000B6DF9">
        <w:rPr>
          <w:i/>
          <w:iCs/>
        </w:rPr>
        <w:t xml:space="preserve">Figure 2. </w:t>
      </w:r>
      <w:r w:rsidR="00804FBF" w:rsidRPr="000B6DF9">
        <w:rPr>
          <w:i/>
          <w:iCs/>
        </w:rPr>
        <w:t xml:space="preserve">Combined Manhattan plots </w:t>
      </w:r>
      <w:r w:rsidR="000B6DF9">
        <w:rPr>
          <w:i/>
          <w:iCs/>
        </w:rPr>
        <w:t>displaying</w:t>
      </w:r>
      <w:r w:rsidR="000B6DF9" w:rsidRPr="000B6DF9">
        <w:rPr>
          <w:i/>
          <w:iCs/>
        </w:rPr>
        <w:t xml:space="preserve"> associations above a 10% FDR </w:t>
      </w:r>
      <w:r w:rsidR="00804FBF" w:rsidRPr="000B6DF9">
        <w:rPr>
          <w:i/>
          <w:iCs/>
        </w:rPr>
        <w:t xml:space="preserve">for </w:t>
      </w:r>
      <w:r w:rsidR="00FE6443" w:rsidRPr="000B6DF9">
        <w:rPr>
          <w:i/>
          <w:iCs/>
        </w:rPr>
        <w:t>18</w:t>
      </w:r>
      <w:r w:rsidR="00804FBF" w:rsidRPr="000B6DF9">
        <w:rPr>
          <w:i/>
          <w:iCs/>
        </w:rPr>
        <w:t xml:space="preserve"> combinations of subpopulation, site subset, and weather-derived flowering phenotype. </w:t>
      </w:r>
      <w:r w:rsidR="00FE6443" w:rsidRPr="000B6DF9">
        <w:rPr>
          <w:i/>
          <w:iCs/>
        </w:rPr>
        <w:t>Black</w:t>
      </w:r>
      <w:r w:rsidR="00804FBF" w:rsidRPr="000B6DF9">
        <w:rPr>
          <w:i/>
          <w:iCs/>
        </w:rPr>
        <w:t xml:space="preserve"> vertical lines represent </w:t>
      </w:r>
      <w:r w:rsidR="00FE6443" w:rsidRPr="000B6DF9">
        <w:rPr>
          <w:i/>
          <w:iCs/>
        </w:rPr>
        <w:t>2</w:t>
      </w:r>
      <w:r w:rsidR="00804FBF" w:rsidRPr="000B6DF9">
        <w:rPr>
          <w:i/>
          <w:iCs/>
        </w:rPr>
        <w:t xml:space="preserve">0kb regions </w:t>
      </w:r>
      <w:r w:rsidR="007471DB">
        <w:rPr>
          <w:i/>
          <w:iCs/>
        </w:rPr>
        <w:t>with</w:t>
      </w:r>
      <w:r w:rsidR="00804FBF" w:rsidRPr="000B6DF9">
        <w:rPr>
          <w:i/>
          <w:iCs/>
        </w:rPr>
        <w:t xml:space="preserve"> associations above a 10% FDR for </w:t>
      </w:r>
      <w:r w:rsidR="00FE6443" w:rsidRPr="000B6DF9">
        <w:rPr>
          <w:i/>
          <w:iCs/>
        </w:rPr>
        <w:t>five</w:t>
      </w:r>
      <w:r w:rsidR="00804FBF" w:rsidRPr="000B6DF9">
        <w:rPr>
          <w:i/>
          <w:iCs/>
        </w:rPr>
        <w:t xml:space="preserve"> or more of these </w:t>
      </w:r>
      <w:r w:rsidR="00FE6443" w:rsidRPr="000B6DF9">
        <w:rPr>
          <w:i/>
          <w:iCs/>
        </w:rPr>
        <w:t>18</w:t>
      </w:r>
      <w:r w:rsidR="00804FBF" w:rsidRPr="000B6DF9">
        <w:rPr>
          <w:i/>
          <w:iCs/>
        </w:rPr>
        <w:t xml:space="preserve"> GWAS. </w:t>
      </w:r>
      <w:r w:rsidR="001B173C" w:rsidRPr="000B6DF9">
        <w:rPr>
          <w:i/>
          <w:iCs/>
        </w:rPr>
        <w:t xml:space="preserve">Colored boxes indicate significant QTL intervals in the </w:t>
      </w:r>
      <w:proofErr w:type="spellStart"/>
      <w:r w:rsidR="001B173C" w:rsidRPr="000B6DF9">
        <w:rPr>
          <w:i/>
          <w:iCs/>
        </w:rPr>
        <w:t>fourway</w:t>
      </w:r>
      <w:proofErr w:type="spellEnd"/>
      <w:r w:rsidR="001B173C" w:rsidRPr="000B6DF9">
        <w:rPr>
          <w:i/>
          <w:iCs/>
        </w:rPr>
        <w:t xml:space="preserve"> cross (with less than a 1.5 LOD drop, see also figure …X). </w:t>
      </w:r>
      <w:r w:rsidR="00804FBF" w:rsidRPr="000B6DF9">
        <w:rPr>
          <w:i/>
          <w:iCs/>
        </w:rPr>
        <w:t xml:space="preserve">Dashed horizontal line represents the Bonferroni threshold.  </w:t>
      </w:r>
    </w:p>
    <w:p w14:paraId="5A6038F3" w14:textId="77777777" w:rsidR="00221FC8" w:rsidRDefault="00221FC8" w:rsidP="00221FC8">
      <w:pPr>
        <w:rPr>
          <w:i/>
          <w:iCs/>
        </w:rPr>
      </w:pPr>
    </w:p>
    <w:p w14:paraId="4CA21426" w14:textId="41C2C106" w:rsidR="00221FC8" w:rsidRPr="00F4170F" w:rsidRDefault="00221FC8" w:rsidP="00221FC8">
      <w:pPr>
        <w:rPr>
          <w:i/>
          <w:iCs/>
        </w:rPr>
      </w:pPr>
      <w:r>
        <w:rPr>
          <w:i/>
          <w:iCs/>
        </w:rPr>
        <w:t xml:space="preserve">Confirmation of genetic effects using a </w:t>
      </w:r>
      <w:proofErr w:type="spellStart"/>
      <w:r>
        <w:rPr>
          <w:i/>
          <w:iCs/>
        </w:rPr>
        <w:t>fourway</w:t>
      </w:r>
      <w:proofErr w:type="spellEnd"/>
      <w:r>
        <w:rPr>
          <w:i/>
          <w:iCs/>
        </w:rPr>
        <w:t xml:space="preserve"> cross </w:t>
      </w:r>
    </w:p>
    <w:p w14:paraId="4527B641" w14:textId="5016C768"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w:t>
      </w:r>
      <w:proofErr w:type="spellStart"/>
      <w:r w:rsidR="00C67A36">
        <w:t>greenup</w:t>
      </w:r>
      <w:proofErr w:type="spellEnd"/>
      <w:r w:rsidR="00C67A36">
        <w:t xml:space="preserve"> and flowering date for the 2016-2019 seasons.</w:t>
      </w:r>
    </w:p>
    <w:p w14:paraId="1F87C4E4" w14:textId="6E1156FC" w:rsidR="00C67A36" w:rsidRDefault="00D25049" w:rsidP="00C67A36">
      <w:pPr>
        <w:ind w:firstLine="720"/>
      </w:pPr>
      <w:r>
        <w:lastRenderedPageBreak/>
        <w:t>To look for dominance in flowering cues, w</w:t>
      </w:r>
      <w:r w:rsidR="00C67A36">
        <w:t>e compared the 2019 flowering dates of F1 individuals to the</w:t>
      </w:r>
      <w:r w:rsidR="005F584E">
        <w:t xml:space="preserve"> </w:t>
      </w:r>
      <w:proofErr w:type="spellStart"/>
      <w:r w:rsidR="005F584E">
        <w:t>fourway</w:t>
      </w:r>
      <w:proofErr w:type="spellEnd"/>
      <w:r w:rsidR="00C67A36">
        <w:t xml:space="preserve"> parents and the diversity panel. Though </w:t>
      </w:r>
      <w:r>
        <w:t xml:space="preserve">the two F1 crosses differed in flowering date by </w:t>
      </w:r>
      <w:r w:rsidR="00C67A36">
        <w:t>17 days</w:t>
      </w:r>
      <w:r>
        <w:t xml:space="preserve"> on average</w:t>
      </w:r>
      <w:r w:rsidR="00C67A36">
        <w:t>, all F1 individuals flowered at similar dates as the Midwest parents each year, and as Midwest subpopulation individuals in general (</w:t>
      </w:r>
      <w:r w:rsidR="00795EC4">
        <w:t>Supplementary Figure X</w:t>
      </w:r>
      <w:r w:rsidR="00C67A36">
        <w:t xml:space="preserve">; early and late F1s flowered 8.1 +/- 8.1 and 7.9 +/- 13.3 days behind their F0 parents. </w:t>
      </w:r>
    </w:p>
    <w:p w14:paraId="10E44682" w14:textId="0AC118A1" w:rsidR="00795EC4" w:rsidRDefault="00D25049" w:rsidP="007A4790">
      <w:pPr>
        <w:ind w:firstLine="720"/>
      </w:pPr>
      <w:r>
        <w:t xml:space="preserve">To confirm associations for genetic BLUPs for flowering in our diversity panel, we </w:t>
      </w:r>
      <w:r w:rsidR="00BF33D7">
        <w:t xml:space="preserve">conducted QTL mapping of </w:t>
      </w:r>
      <w:proofErr w:type="spellStart"/>
      <w:r w:rsidR="00BF33D7">
        <w:t>greenup</w:t>
      </w:r>
      <w:proofErr w:type="spellEnd"/>
      <w:r w:rsidR="00BF33D7">
        <w:t xml:space="preserve"> and flowering in 2019 for seven common gardens. </w:t>
      </w:r>
      <w:r w:rsidR="00795EC4">
        <w:t>We</w:t>
      </w:r>
      <w:r w:rsidR="00BF33D7">
        <w:t xml:space="preserve"> again</w:t>
      </w:r>
      <w:r w:rsidR="00795EC4">
        <w:t xml:space="preserve"> </w:t>
      </w:r>
      <w:r w:rsidR="00BF33D7">
        <w:t>analyzed flowering in three ways</w:t>
      </w:r>
      <w:r w:rsidR="00795EC4">
        <w:t xml:space="preserve">: as a function of Julian date (‘flowering date’), as a function of cumulative GDD between </w:t>
      </w:r>
      <w:proofErr w:type="spellStart"/>
      <w:r w:rsidR="00795EC4">
        <w:t>greenup</w:t>
      </w:r>
      <w:proofErr w:type="spellEnd"/>
      <w:r w:rsidR="00795EC4">
        <w:t xml:space="preserve"> and flowering (‘flowering GDD’)</w:t>
      </w:r>
      <w:r w:rsidR="00547513">
        <w:t xml:space="preserve">, and as a function of daylength at flowering </w:t>
      </w:r>
      <w:r w:rsidR="00C87644">
        <w:t>(‘flowering daylength’)</w:t>
      </w:r>
      <w:r w:rsidR="00795EC4">
        <w:t xml:space="preserve">. There were no significant QTL for </w:t>
      </w:r>
      <w:proofErr w:type="spellStart"/>
      <w:r w:rsidR="00795EC4">
        <w:t>greenup</w:t>
      </w:r>
      <w:proofErr w:type="spellEnd"/>
      <w:r w:rsidR="00795EC4">
        <w:t>.</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(or daylength change in seconds…) had higher explanatory power than flowering date for the majority of QTL.  The most significant QTL were on Chr02N, Chr04K, and two positions on Chr05N. Of these strongest four QTL, all but the QTL on Chr02N had consistent associations in five or more GWAS on genetic BLUPs</w:t>
      </w:r>
      <w:r w:rsidR="00CD7BC2">
        <w:t xml:space="preserve"> (Figure 2)</w:t>
      </w:r>
      <w:r w:rsidR="00A447C6">
        <w:t xml:space="preserve">. Of the smaller QTL, the QTL </w:t>
      </w:r>
      <w:r w:rsidR="00CD7BC2">
        <w:t xml:space="preserve">for flowering daylength </w:t>
      </w:r>
      <w:r w:rsidR="00A447C6">
        <w:t>on Chr</w:t>
      </w:r>
      <w:r w:rsidR="00CD7BC2">
        <w:t xml:space="preserve">02K, and the QTL for flowering daylength on Chr09N overlapped with the 20kb interval with consistent associations in five or more GWAS on genetic BLUPs. Thus, we confirmed </w:t>
      </w:r>
      <w:r w:rsidR="00814EBF">
        <w:t>that five genomic regions with consistent genetic associations also had</w:t>
      </w:r>
      <w:r w:rsidR="00CD7BC2">
        <w:t xml:space="preserve"> effects on flowering </w:t>
      </w:r>
      <w:r w:rsidR="00814EBF">
        <w:t xml:space="preserve">in a </w:t>
      </w:r>
      <w:proofErr w:type="spellStart"/>
      <w:r w:rsidR="00CD7BC2">
        <w:t>fourway</w:t>
      </w:r>
      <w:proofErr w:type="spellEnd"/>
      <w:r w:rsidR="00CD7BC2">
        <w:t xml:space="preserve"> cross </w:t>
      </w:r>
      <w:r w:rsidR="00181B79">
        <w:t xml:space="preserve">F2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33C9E905" w:rsidR="003B3194" w:rsidRDefault="001950CC" w:rsidP="001950CC">
      <w:pPr>
        <w:rPr>
          <w:i/>
          <w:iCs/>
        </w:rPr>
      </w:pPr>
      <w:r>
        <w:tab/>
        <w:t xml:space="preserve">Our analysis of G and GxE across our eight common gardens and two genetic subpopulations suggested the presence of GxE for rainfall, GDD, and photoperiod cues for flowering, for which variation </w:t>
      </w:r>
      <w:r w:rsidR="0024741A">
        <w:t xml:space="preserve">was </w:t>
      </w:r>
      <w:r>
        <w:t xml:space="preserve">more visible outside of each subpopulations’ native range. </w:t>
      </w:r>
      <w:r w:rsidR="0024741A">
        <w:t xml:space="preserve">We evaluated GxE in flowering as a function of five environmental cues: </w:t>
      </w:r>
      <w:r>
        <w:t>as a function of daylength at flowering (‘flowering daylength’),</w:t>
      </w:r>
      <w:r w:rsidR="00831D3F">
        <w:t xml:space="preserve"> as a function of daylength change</w:t>
      </w:r>
      <w:r w:rsidR="00197C10">
        <w:t xml:space="preserve"> from the previous day</w:t>
      </w:r>
      <w:r w:rsidR="0065684F">
        <w:t xml:space="preserve"> on the day of</w:t>
      </w:r>
      <w:r w:rsidR="00831D3F">
        <w:t xml:space="preserve"> flowering (‘flowering daylength change’)</w:t>
      </w:r>
      <w:r>
        <w:t xml:space="preserve"> as a function of cumulative GDD between </w:t>
      </w:r>
      <w:proofErr w:type="spellStart"/>
      <w:r>
        <w:t>greenup</w:t>
      </w:r>
      <w:proofErr w:type="spellEnd"/>
      <w:r>
        <w:t xml:space="preserve"> and flowering (‘flowering GDD’), as a function of rainfall on the day of flowering (‘flowering rainfall’), and as a function </w:t>
      </w:r>
      <w:r w:rsidR="00BC148D">
        <w:t xml:space="preserve">of </w:t>
      </w:r>
      <w:r w:rsidR="00F52223">
        <w:t xml:space="preserve">rainfall between </w:t>
      </w:r>
      <w:proofErr w:type="spellStart"/>
      <w:r w:rsidR="00F52223">
        <w:t>greenup</w:t>
      </w:r>
      <w:proofErr w:type="spellEnd"/>
      <w:r w:rsidR="00F52223">
        <w:t xml:space="preserve"> and flowering</w:t>
      </w:r>
      <w:r w:rsidR="00333E00">
        <w:t xml:space="preserve"> (‘cumulative rainfall’)</w:t>
      </w:r>
      <w:r w:rsidR="003B3194">
        <w:t xml:space="preserve">. </w:t>
      </w:r>
      <w:r w:rsidR="0024741A">
        <w:t xml:space="preserve">We </w:t>
      </w:r>
      <w:r w:rsidR="003B3194">
        <w:t>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24741A">
        <w:t>When SNPs are used in multiple univariate GWAS, m</w:t>
      </w:r>
      <w:r w:rsidR="0024741A" w:rsidRPr="003F5261">
        <w:t xml:space="preserve">ash </w:t>
      </w:r>
      <w:r w:rsidR="0024741A">
        <w:t>can be used to share information on patterns of effect size and direction between GWAS, improving the power to detect significant, shared results.</w:t>
      </w:r>
    </w:p>
    <w:p w14:paraId="445F0584" w14:textId="77777777" w:rsidR="00227B6C" w:rsidRDefault="00227B6C" w:rsidP="001950CC"/>
    <w:p w14:paraId="6BE8A8CE" w14:textId="0AA98D17" w:rsidR="00F52223" w:rsidRPr="00F52223" w:rsidRDefault="00F52223" w:rsidP="007500CC">
      <w:pPr>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F52223">
      <w:pPr>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816D45">
      <w:pPr>
        <w:rPr>
          <w:i/>
          <w:iCs/>
        </w:rPr>
      </w:pPr>
      <w:r>
        <w:rPr>
          <w:i/>
          <w:iCs/>
        </w:rPr>
        <w:t xml:space="preserve">Paragraph about GxE effects for flowering in both </w:t>
      </w:r>
      <w:proofErr w:type="spellStart"/>
      <w:r>
        <w:rPr>
          <w:i/>
          <w:iCs/>
        </w:rPr>
        <w:t>subpops</w:t>
      </w:r>
      <w:proofErr w:type="spellEnd"/>
      <w:r>
        <w:rPr>
          <w:i/>
          <w:iCs/>
        </w:rPr>
        <w:t>?</w:t>
      </w:r>
    </w:p>
    <w:p w14:paraId="6DA60475" w14:textId="54E2F977" w:rsidR="00816D45" w:rsidRDefault="00816D45" w:rsidP="00816D45">
      <w:pPr>
        <w:rPr>
          <w:i/>
          <w:iCs/>
        </w:rPr>
      </w:pPr>
      <w:r>
        <w:rPr>
          <w:i/>
          <w:iCs/>
        </w:rPr>
        <w:lastRenderedPageBreak/>
        <w:t xml:space="preserve">Overlap between these GxE effects? There isn’t much, I </w:t>
      </w:r>
      <w:proofErr w:type="gramStart"/>
      <w:r>
        <w:rPr>
          <w:i/>
          <w:iCs/>
        </w:rPr>
        <w:t>assume?</w:t>
      </w:r>
      <w:proofErr w:type="gramEnd"/>
    </w:p>
    <w:p w14:paraId="4A5E47F0" w14:textId="1DFAAF36" w:rsidR="008F24FF" w:rsidRPr="00F4170F" w:rsidRDefault="008F24FF" w:rsidP="008F24FF">
      <w:pPr>
        <w:rPr>
          <w:i/>
          <w:iCs/>
        </w:rPr>
      </w:pPr>
      <w:r>
        <w:rPr>
          <w:i/>
          <w:iCs/>
        </w:rPr>
        <w:t xml:space="preserve">Confirmation of genotype-by environment effects using a </w:t>
      </w:r>
      <w:proofErr w:type="spellStart"/>
      <w:r>
        <w:rPr>
          <w:i/>
          <w:iCs/>
        </w:rPr>
        <w:t>fourway</w:t>
      </w:r>
      <w:proofErr w:type="spellEnd"/>
      <w:r>
        <w:rPr>
          <w:i/>
          <w:iCs/>
        </w:rPr>
        <w:t xml:space="preserve"> cross </w:t>
      </w:r>
    </w:p>
    <w:p w14:paraId="7050BBE6" w14:textId="77777777" w:rsidR="006E31FC" w:rsidRDefault="006E31FC" w:rsidP="006E31FC">
      <w:pPr>
        <w:ind w:firstLine="720"/>
      </w:pPr>
      <w:r>
        <w:t xml:space="preserve">All eight QTL for flowering date exhibited significant GxE between common garden sites. Our cross design allowed us to estimate allelic effects of alleles from all four parents as contrasts of alleles in the F1 individuals. In the early flowering allele set,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27 </w:t>
      </w:r>
      <w:proofErr w:type="spellStart"/>
      <w:r>
        <w:t>AxB</w:t>
      </w:r>
      <w:proofErr w:type="spellEnd"/>
      <w:r>
        <w:t xml:space="preserve"> alleles accelerated flowering by decreasing the GDD required for flowering,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251612CA" w14:textId="5909766C" w:rsidR="00795EC4" w:rsidRDefault="00795EC4" w:rsidP="0047633C">
      <w:pPr>
        <w:rPr>
          <w:b/>
          <w:bCs/>
        </w:rPr>
      </w:pPr>
      <w:r>
        <w:rPr>
          <w:noProof/>
        </w:rPr>
        <w:drawing>
          <wp:anchor distT="0" distB="0" distL="114300" distR="114300" simplePos="0" relativeHeight="251693056" behindDoc="0" locked="0" layoutInCell="1" allowOverlap="1" wp14:anchorId="5B10FAEE" wp14:editId="3577534E">
            <wp:simplePos x="0" y="0"/>
            <wp:positionH relativeFrom="margin">
              <wp:posOffset>0</wp:posOffset>
            </wp:positionH>
            <wp:positionV relativeFrom="paragraph">
              <wp:posOffset>2702560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332978BB" w14:textId="77777777" w:rsidR="00795EC4" w:rsidRDefault="00795EC4" w:rsidP="0047633C">
      <w:pPr>
        <w:rPr>
          <w:b/>
          <w:bCs/>
        </w:rPr>
      </w:pPr>
    </w:p>
    <w:p w14:paraId="472626CD" w14:textId="37003EB7" w:rsidR="0047633C" w:rsidRDefault="00795EC4" w:rsidP="0047633C">
      <w:pPr>
        <w:rPr>
          <w:i/>
          <w:iCs/>
        </w:rPr>
      </w:pPr>
      <w:r>
        <w:rPr>
          <w:b/>
          <w:bCs/>
        </w:rPr>
        <w:t>Supplementary Figure X</w:t>
      </w:r>
      <w:r w:rsidR="0047633C" w:rsidRPr="0047633C">
        <w:rPr>
          <w:b/>
          <w:bCs/>
        </w:rPr>
        <w:t>.</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137FA951" w14:textId="226C005E" w:rsidR="00795EC4" w:rsidRDefault="00795EC4" w:rsidP="0047633C">
      <w:r w:rsidRPr="0047633C">
        <w:rPr>
          <w:i/>
          <w:iCs/>
          <w:noProof/>
        </w:rPr>
        <w:lastRenderedPageBreak/>
        <w:drawing>
          <wp:anchor distT="0" distB="0" distL="114300" distR="114300" simplePos="0" relativeHeight="251685888" behindDoc="0" locked="0" layoutInCell="1" allowOverlap="1" wp14:anchorId="21FFA673" wp14:editId="33F728F7">
            <wp:simplePos x="0" y="0"/>
            <wp:positionH relativeFrom="margin">
              <wp:posOffset>0</wp:posOffset>
            </wp:positionH>
            <wp:positionV relativeFrom="paragraph">
              <wp:posOffset>284480</wp:posOffset>
            </wp:positionV>
            <wp:extent cx="5943600" cy="3674745"/>
            <wp:effectExtent l="0" t="0" r="0" b="190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p>
    <w:p w14:paraId="646CA644" w14:textId="2456E0B4" w:rsidR="00113FD9" w:rsidRPr="00113FD9" w:rsidRDefault="00795EC4" w:rsidP="00113FD9">
      <w:pPr>
        <w:rPr>
          <w:i/>
          <w:iCs/>
        </w:rPr>
      </w:pPr>
      <w:r w:rsidRPr="00113FD9">
        <w:rPr>
          <w:b/>
          <w:bCs/>
          <w:noProof/>
        </w:rPr>
        <w:drawing>
          <wp:anchor distT="0" distB="0" distL="114300" distR="114300" simplePos="0" relativeHeight="251676672" behindDoc="0" locked="0" layoutInCell="1" allowOverlap="1" wp14:anchorId="5C8007DC" wp14:editId="0FEC27EA">
            <wp:simplePos x="0" y="0"/>
            <wp:positionH relativeFrom="margin">
              <wp:posOffset>0</wp:posOffset>
            </wp:positionH>
            <wp:positionV relativeFrom="paragraph">
              <wp:posOffset>553085</wp:posOffset>
            </wp:positionV>
            <wp:extent cx="5943600" cy="3674745"/>
            <wp:effectExtent l="0" t="0" r="0" b="1905"/>
            <wp:wrapTopAndBottom/>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113FD9" w:rsidRPr="00113FD9">
        <w:rPr>
          <w:b/>
          <w:bCs/>
        </w:rPr>
        <w:t>Figure 3.</w:t>
      </w:r>
      <w:r w:rsidR="00113FD9">
        <w:t xml:space="preserve"> </w:t>
      </w:r>
      <w:r w:rsidR="00113FD9">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E628AE7" w14:textId="00B78FAD" w:rsidR="001F7232" w:rsidRDefault="001F7232" w:rsidP="00DC1F5D">
      <w:pPr>
        <w:ind w:firstLine="720"/>
      </w:pPr>
    </w:p>
    <w:p w14:paraId="01264E4D" w14:textId="77777777" w:rsidR="00814EBF" w:rsidRDefault="00814EBF" w:rsidP="00814EBF">
      <w:r w:rsidRPr="001F7232">
        <w:rPr>
          <w:b/>
          <w:bCs/>
        </w:rPr>
        <w:t>Figure 4.</w:t>
      </w:r>
      <w:r>
        <w:t xml:space="preserve"> </w:t>
      </w:r>
      <w:r w:rsidRPr="001F7232">
        <w:rPr>
          <w:i/>
          <w:iCs/>
        </w:rPr>
        <w:t>Distribution of LOD scores by chromosome for flowering date and flowering GDD across 7 common gardens in 2019. Dashed lines indicate significance for the solid LOD lines of the same color.</w:t>
      </w:r>
    </w:p>
    <w:p w14:paraId="707C7FC7" w14:textId="344BFD81" w:rsidR="00A94451" w:rsidRDefault="00A94451"/>
    <w:p w14:paraId="7DC2DE5A" w14:textId="1306ECB1" w:rsidR="00872127" w:rsidRDefault="00872127"/>
    <w:p w14:paraId="4EC0CAD2" w14:textId="67EA5833" w:rsidR="00AE5D08" w:rsidRDefault="00AE5D0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w:t>
      </w:r>
      <w:r>
        <w:lastRenderedPageBreak/>
        <w:t xml:space="preserve">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65452040"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5495332A" w14:textId="77777777" w:rsidR="00E76EE1" w:rsidRDefault="00E76EE1" w:rsidP="00E76EE1">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E76EE1">
      <w:r>
        <w:t xml:space="preserve">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w:t>
      </w:r>
      <w:proofErr w:type="spellStart"/>
      <w:r>
        <w:t>greenup</w:t>
      </w:r>
      <w:proofErr w:type="spellEnd"/>
      <w:r>
        <w:t xml:space="preserve">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3"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9932F8">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9932F8">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9932F8">
        <w:trPr>
          <w:trHeight w:val="285"/>
        </w:trPr>
        <w:tc>
          <w:tcPr>
            <w:tcW w:w="2500" w:type="dxa"/>
            <w:noWrap/>
            <w:hideMark/>
          </w:tcPr>
          <w:p w14:paraId="73E29CE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9932F8">
        <w:trPr>
          <w:trHeight w:val="285"/>
        </w:trPr>
        <w:tc>
          <w:tcPr>
            <w:tcW w:w="2500" w:type="dxa"/>
            <w:noWrap/>
            <w:hideMark/>
          </w:tcPr>
          <w:p w14:paraId="2DAF3D8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9932F8">
        <w:trPr>
          <w:trHeight w:val="285"/>
        </w:trPr>
        <w:tc>
          <w:tcPr>
            <w:tcW w:w="2500" w:type="dxa"/>
            <w:noWrap/>
            <w:hideMark/>
          </w:tcPr>
          <w:p w14:paraId="2C8D02B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9932F8">
        <w:trPr>
          <w:trHeight w:val="285"/>
        </w:trPr>
        <w:tc>
          <w:tcPr>
            <w:tcW w:w="2500" w:type="dxa"/>
            <w:noWrap/>
            <w:hideMark/>
          </w:tcPr>
          <w:p w14:paraId="023CCB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9932F8">
        <w:trPr>
          <w:trHeight w:val="285"/>
        </w:trPr>
        <w:tc>
          <w:tcPr>
            <w:tcW w:w="2500" w:type="dxa"/>
            <w:noWrap/>
            <w:hideMark/>
          </w:tcPr>
          <w:p w14:paraId="5B0026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9932F8">
        <w:trPr>
          <w:trHeight w:val="285"/>
        </w:trPr>
        <w:tc>
          <w:tcPr>
            <w:tcW w:w="2500" w:type="dxa"/>
            <w:noWrap/>
            <w:hideMark/>
          </w:tcPr>
          <w:p w14:paraId="1CD0FB1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9932F8">
        <w:trPr>
          <w:trHeight w:val="285"/>
        </w:trPr>
        <w:tc>
          <w:tcPr>
            <w:tcW w:w="2500" w:type="dxa"/>
            <w:noWrap/>
            <w:hideMark/>
          </w:tcPr>
          <w:p w14:paraId="39D52E6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9932F8">
        <w:trPr>
          <w:trHeight w:val="285"/>
        </w:trPr>
        <w:tc>
          <w:tcPr>
            <w:tcW w:w="2500" w:type="dxa"/>
            <w:noWrap/>
            <w:hideMark/>
          </w:tcPr>
          <w:p w14:paraId="466A8F8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9932F8">
        <w:trPr>
          <w:trHeight w:val="285"/>
        </w:trPr>
        <w:tc>
          <w:tcPr>
            <w:tcW w:w="2500" w:type="dxa"/>
            <w:noWrap/>
            <w:hideMark/>
          </w:tcPr>
          <w:p w14:paraId="7FAF359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9932F8">
        <w:trPr>
          <w:trHeight w:val="285"/>
        </w:trPr>
        <w:tc>
          <w:tcPr>
            <w:tcW w:w="2500" w:type="dxa"/>
            <w:noWrap/>
            <w:hideMark/>
          </w:tcPr>
          <w:p w14:paraId="09C13DE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9932F8">
        <w:trPr>
          <w:trHeight w:val="285"/>
        </w:trPr>
        <w:tc>
          <w:tcPr>
            <w:tcW w:w="2500" w:type="dxa"/>
            <w:noWrap/>
            <w:hideMark/>
          </w:tcPr>
          <w:p w14:paraId="3550EEC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9932F8">
        <w:trPr>
          <w:trHeight w:val="285"/>
        </w:trPr>
        <w:tc>
          <w:tcPr>
            <w:tcW w:w="2500" w:type="dxa"/>
            <w:noWrap/>
            <w:hideMark/>
          </w:tcPr>
          <w:p w14:paraId="277CF43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9932F8">
        <w:trPr>
          <w:trHeight w:val="285"/>
        </w:trPr>
        <w:tc>
          <w:tcPr>
            <w:tcW w:w="2500" w:type="dxa"/>
            <w:noWrap/>
            <w:hideMark/>
          </w:tcPr>
          <w:p w14:paraId="54B56C5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9932F8">
        <w:trPr>
          <w:trHeight w:val="285"/>
        </w:trPr>
        <w:tc>
          <w:tcPr>
            <w:tcW w:w="2500" w:type="dxa"/>
            <w:noWrap/>
            <w:hideMark/>
          </w:tcPr>
          <w:p w14:paraId="5EE26F96"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36E4D233"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E8995" w14:textId="77777777" w:rsidR="0007279F" w:rsidRDefault="0007279F" w:rsidP="007B55E9">
      <w:pPr>
        <w:spacing w:after="0" w:line="240" w:lineRule="auto"/>
      </w:pPr>
      <w:r>
        <w:separator/>
      </w:r>
    </w:p>
  </w:endnote>
  <w:endnote w:type="continuationSeparator" w:id="0">
    <w:p w14:paraId="3E7CB939" w14:textId="77777777" w:rsidR="0007279F" w:rsidRDefault="0007279F"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D7A18" w14:textId="77777777" w:rsidR="0007279F" w:rsidRDefault="0007279F" w:rsidP="007B55E9">
      <w:pPr>
        <w:spacing w:after="0" w:line="240" w:lineRule="auto"/>
      </w:pPr>
      <w:r>
        <w:separator/>
      </w:r>
    </w:p>
  </w:footnote>
  <w:footnote w:type="continuationSeparator" w:id="0">
    <w:p w14:paraId="6FC69D01" w14:textId="77777777" w:rsidR="0007279F" w:rsidRDefault="0007279F"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7279F"/>
    <w:rsid w:val="0008173C"/>
    <w:rsid w:val="00083CC4"/>
    <w:rsid w:val="00085338"/>
    <w:rsid w:val="00092A16"/>
    <w:rsid w:val="0009482E"/>
    <w:rsid w:val="00094F9D"/>
    <w:rsid w:val="000A37C2"/>
    <w:rsid w:val="000A4FC8"/>
    <w:rsid w:val="000A5C17"/>
    <w:rsid w:val="000B3689"/>
    <w:rsid w:val="000B43C1"/>
    <w:rsid w:val="000B56FC"/>
    <w:rsid w:val="000B6138"/>
    <w:rsid w:val="000B6DF9"/>
    <w:rsid w:val="000C3919"/>
    <w:rsid w:val="000C4C23"/>
    <w:rsid w:val="000D5DCA"/>
    <w:rsid w:val="000E0B41"/>
    <w:rsid w:val="000E1A44"/>
    <w:rsid w:val="000E5790"/>
    <w:rsid w:val="000E7BFF"/>
    <w:rsid w:val="000F364E"/>
    <w:rsid w:val="00112F2A"/>
    <w:rsid w:val="00113FD9"/>
    <w:rsid w:val="00120602"/>
    <w:rsid w:val="001218C4"/>
    <w:rsid w:val="00121B8E"/>
    <w:rsid w:val="00131685"/>
    <w:rsid w:val="00143ED7"/>
    <w:rsid w:val="0014430D"/>
    <w:rsid w:val="00144530"/>
    <w:rsid w:val="001475B5"/>
    <w:rsid w:val="00150878"/>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D0ABE"/>
    <w:rsid w:val="001D1108"/>
    <w:rsid w:val="001D5AD0"/>
    <w:rsid w:val="001E0A27"/>
    <w:rsid w:val="001F188C"/>
    <w:rsid w:val="001F591D"/>
    <w:rsid w:val="001F7232"/>
    <w:rsid w:val="002004B3"/>
    <w:rsid w:val="00203580"/>
    <w:rsid w:val="00205939"/>
    <w:rsid w:val="002059D6"/>
    <w:rsid w:val="00205EC7"/>
    <w:rsid w:val="00207876"/>
    <w:rsid w:val="0021167A"/>
    <w:rsid w:val="002129B4"/>
    <w:rsid w:val="00221FC8"/>
    <w:rsid w:val="002229F9"/>
    <w:rsid w:val="0022308F"/>
    <w:rsid w:val="00227B6C"/>
    <w:rsid w:val="00233A42"/>
    <w:rsid w:val="00236B2F"/>
    <w:rsid w:val="0024741A"/>
    <w:rsid w:val="00247A73"/>
    <w:rsid w:val="00250461"/>
    <w:rsid w:val="002531BE"/>
    <w:rsid w:val="00255B02"/>
    <w:rsid w:val="00261633"/>
    <w:rsid w:val="002621DA"/>
    <w:rsid w:val="00263D55"/>
    <w:rsid w:val="00265861"/>
    <w:rsid w:val="00266128"/>
    <w:rsid w:val="00275909"/>
    <w:rsid w:val="00286B13"/>
    <w:rsid w:val="00287E01"/>
    <w:rsid w:val="00290289"/>
    <w:rsid w:val="002918DA"/>
    <w:rsid w:val="00296553"/>
    <w:rsid w:val="002A008E"/>
    <w:rsid w:val="002A0403"/>
    <w:rsid w:val="002A25F9"/>
    <w:rsid w:val="002A411A"/>
    <w:rsid w:val="002A616B"/>
    <w:rsid w:val="002A746D"/>
    <w:rsid w:val="002B031D"/>
    <w:rsid w:val="002B1044"/>
    <w:rsid w:val="002B35A4"/>
    <w:rsid w:val="002C0566"/>
    <w:rsid w:val="002C2BA5"/>
    <w:rsid w:val="002C4F58"/>
    <w:rsid w:val="002D1D34"/>
    <w:rsid w:val="002D4FF6"/>
    <w:rsid w:val="002D5AB7"/>
    <w:rsid w:val="002D633A"/>
    <w:rsid w:val="002E3A05"/>
    <w:rsid w:val="002E6C64"/>
    <w:rsid w:val="002E767E"/>
    <w:rsid w:val="00305FD5"/>
    <w:rsid w:val="00313DBE"/>
    <w:rsid w:val="00321513"/>
    <w:rsid w:val="00331407"/>
    <w:rsid w:val="00333E00"/>
    <w:rsid w:val="00335591"/>
    <w:rsid w:val="00336B7B"/>
    <w:rsid w:val="0034545A"/>
    <w:rsid w:val="00351571"/>
    <w:rsid w:val="003528AB"/>
    <w:rsid w:val="00360B3A"/>
    <w:rsid w:val="00360D0B"/>
    <w:rsid w:val="00374233"/>
    <w:rsid w:val="00384C59"/>
    <w:rsid w:val="00390283"/>
    <w:rsid w:val="003B275E"/>
    <w:rsid w:val="003B3194"/>
    <w:rsid w:val="003B7B8A"/>
    <w:rsid w:val="003D0CEF"/>
    <w:rsid w:val="003D2058"/>
    <w:rsid w:val="003E07FE"/>
    <w:rsid w:val="00401C85"/>
    <w:rsid w:val="00406FA1"/>
    <w:rsid w:val="0041024B"/>
    <w:rsid w:val="00412A1F"/>
    <w:rsid w:val="004144D8"/>
    <w:rsid w:val="0041698C"/>
    <w:rsid w:val="004176BC"/>
    <w:rsid w:val="00442F71"/>
    <w:rsid w:val="00445456"/>
    <w:rsid w:val="0044729E"/>
    <w:rsid w:val="00450BC4"/>
    <w:rsid w:val="00450D52"/>
    <w:rsid w:val="0046160E"/>
    <w:rsid w:val="004626A2"/>
    <w:rsid w:val="00471AD0"/>
    <w:rsid w:val="0047633C"/>
    <w:rsid w:val="0048046B"/>
    <w:rsid w:val="004830E7"/>
    <w:rsid w:val="00483BCF"/>
    <w:rsid w:val="00487648"/>
    <w:rsid w:val="004973CD"/>
    <w:rsid w:val="004A5825"/>
    <w:rsid w:val="004A60B9"/>
    <w:rsid w:val="004B4258"/>
    <w:rsid w:val="004C2FC7"/>
    <w:rsid w:val="004C5D9D"/>
    <w:rsid w:val="004E7835"/>
    <w:rsid w:val="004F492B"/>
    <w:rsid w:val="004F5292"/>
    <w:rsid w:val="005073D5"/>
    <w:rsid w:val="00510872"/>
    <w:rsid w:val="0052324B"/>
    <w:rsid w:val="0053056F"/>
    <w:rsid w:val="00531C48"/>
    <w:rsid w:val="00532637"/>
    <w:rsid w:val="00542985"/>
    <w:rsid w:val="00543C77"/>
    <w:rsid w:val="00547513"/>
    <w:rsid w:val="00547E2C"/>
    <w:rsid w:val="0056359B"/>
    <w:rsid w:val="005679B5"/>
    <w:rsid w:val="00577600"/>
    <w:rsid w:val="005779E9"/>
    <w:rsid w:val="0058030E"/>
    <w:rsid w:val="00581C71"/>
    <w:rsid w:val="00590B20"/>
    <w:rsid w:val="00593549"/>
    <w:rsid w:val="005A0A1B"/>
    <w:rsid w:val="005A3CDC"/>
    <w:rsid w:val="005B0448"/>
    <w:rsid w:val="005B48F5"/>
    <w:rsid w:val="005B51E7"/>
    <w:rsid w:val="005C1AE9"/>
    <w:rsid w:val="005C5A80"/>
    <w:rsid w:val="005C7580"/>
    <w:rsid w:val="005D1C48"/>
    <w:rsid w:val="005D2E94"/>
    <w:rsid w:val="005D4CBB"/>
    <w:rsid w:val="005E25C9"/>
    <w:rsid w:val="005F584E"/>
    <w:rsid w:val="005F664E"/>
    <w:rsid w:val="00607891"/>
    <w:rsid w:val="00607E2B"/>
    <w:rsid w:val="00610170"/>
    <w:rsid w:val="0061553C"/>
    <w:rsid w:val="0062190D"/>
    <w:rsid w:val="00622ED6"/>
    <w:rsid w:val="006279C0"/>
    <w:rsid w:val="00654CFA"/>
    <w:rsid w:val="0065684F"/>
    <w:rsid w:val="006622CE"/>
    <w:rsid w:val="0067259B"/>
    <w:rsid w:val="006729EB"/>
    <w:rsid w:val="00673F5A"/>
    <w:rsid w:val="00674A9D"/>
    <w:rsid w:val="00674F1D"/>
    <w:rsid w:val="00677CE0"/>
    <w:rsid w:val="0069137C"/>
    <w:rsid w:val="006950C4"/>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1DB"/>
    <w:rsid w:val="0074757D"/>
    <w:rsid w:val="007500CC"/>
    <w:rsid w:val="00751D9B"/>
    <w:rsid w:val="0077351D"/>
    <w:rsid w:val="007749EF"/>
    <w:rsid w:val="00775237"/>
    <w:rsid w:val="00781076"/>
    <w:rsid w:val="0078762E"/>
    <w:rsid w:val="00795EC4"/>
    <w:rsid w:val="007A2678"/>
    <w:rsid w:val="007A4790"/>
    <w:rsid w:val="007A6ABF"/>
    <w:rsid w:val="007B4B3A"/>
    <w:rsid w:val="007B55E9"/>
    <w:rsid w:val="007C5880"/>
    <w:rsid w:val="007C5A21"/>
    <w:rsid w:val="007D18ED"/>
    <w:rsid w:val="007D54E0"/>
    <w:rsid w:val="007E4C5F"/>
    <w:rsid w:val="007F704B"/>
    <w:rsid w:val="00804FBF"/>
    <w:rsid w:val="00814EBF"/>
    <w:rsid w:val="00816D45"/>
    <w:rsid w:val="0082026A"/>
    <w:rsid w:val="00831D3F"/>
    <w:rsid w:val="00846418"/>
    <w:rsid w:val="00854BAD"/>
    <w:rsid w:val="00855134"/>
    <w:rsid w:val="00857BAE"/>
    <w:rsid w:val="00866E58"/>
    <w:rsid w:val="00872127"/>
    <w:rsid w:val="008767AA"/>
    <w:rsid w:val="00883C70"/>
    <w:rsid w:val="00885040"/>
    <w:rsid w:val="008856CF"/>
    <w:rsid w:val="008862B4"/>
    <w:rsid w:val="008869BD"/>
    <w:rsid w:val="00892794"/>
    <w:rsid w:val="008934C9"/>
    <w:rsid w:val="008945E9"/>
    <w:rsid w:val="008D7BDE"/>
    <w:rsid w:val="008E0AA9"/>
    <w:rsid w:val="008E2A5C"/>
    <w:rsid w:val="008E30F5"/>
    <w:rsid w:val="008E5129"/>
    <w:rsid w:val="008F24FF"/>
    <w:rsid w:val="008F7A3E"/>
    <w:rsid w:val="009041BB"/>
    <w:rsid w:val="00905975"/>
    <w:rsid w:val="00911047"/>
    <w:rsid w:val="0091743B"/>
    <w:rsid w:val="009219A5"/>
    <w:rsid w:val="0092463E"/>
    <w:rsid w:val="00930F20"/>
    <w:rsid w:val="00934EA3"/>
    <w:rsid w:val="00940202"/>
    <w:rsid w:val="00943CDA"/>
    <w:rsid w:val="00950031"/>
    <w:rsid w:val="0095061C"/>
    <w:rsid w:val="00954192"/>
    <w:rsid w:val="009721BC"/>
    <w:rsid w:val="00973DCA"/>
    <w:rsid w:val="00975C00"/>
    <w:rsid w:val="009769D6"/>
    <w:rsid w:val="00980A54"/>
    <w:rsid w:val="00983E7E"/>
    <w:rsid w:val="009932F8"/>
    <w:rsid w:val="009944C8"/>
    <w:rsid w:val="00994DC4"/>
    <w:rsid w:val="00995A51"/>
    <w:rsid w:val="009A0C54"/>
    <w:rsid w:val="009A1764"/>
    <w:rsid w:val="009A198E"/>
    <w:rsid w:val="009A6D99"/>
    <w:rsid w:val="009B2954"/>
    <w:rsid w:val="009B6ED2"/>
    <w:rsid w:val="009B6EED"/>
    <w:rsid w:val="009B7720"/>
    <w:rsid w:val="009C5238"/>
    <w:rsid w:val="009D1BE5"/>
    <w:rsid w:val="009D2D00"/>
    <w:rsid w:val="009D3931"/>
    <w:rsid w:val="009D7E32"/>
    <w:rsid w:val="009E0622"/>
    <w:rsid w:val="009E5EA5"/>
    <w:rsid w:val="009E6204"/>
    <w:rsid w:val="009E7BE1"/>
    <w:rsid w:val="009F0157"/>
    <w:rsid w:val="009F1E92"/>
    <w:rsid w:val="009F2E07"/>
    <w:rsid w:val="009F697B"/>
    <w:rsid w:val="00A11543"/>
    <w:rsid w:val="00A1326C"/>
    <w:rsid w:val="00A20E08"/>
    <w:rsid w:val="00A2334A"/>
    <w:rsid w:val="00A238AD"/>
    <w:rsid w:val="00A27FB7"/>
    <w:rsid w:val="00A30C9D"/>
    <w:rsid w:val="00A40923"/>
    <w:rsid w:val="00A44561"/>
    <w:rsid w:val="00A447C6"/>
    <w:rsid w:val="00A549E4"/>
    <w:rsid w:val="00A604DC"/>
    <w:rsid w:val="00A70A2A"/>
    <w:rsid w:val="00A86B1F"/>
    <w:rsid w:val="00A86E6B"/>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FC9"/>
    <w:rsid w:val="00AF5437"/>
    <w:rsid w:val="00B075BB"/>
    <w:rsid w:val="00B14B16"/>
    <w:rsid w:val="00B2786C"/>
    <w:rsid w:val="00B30A74"/>
    <w:rsid w:val="00B328C2"/>
    <w:rsid w:val="00B33650"/>
    <w:rsid w:val="00B36B4A"/>
    <w:rsid w:val="00B50C97"/>
    <w:rsid w:val="00B629D6"/>
    <w:rsid w:val="00B64EDF"/>
    <w:rsid w:val="00B71AB0"/>
    <w:rsid w:val="00B72807"/>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33D7"/>
    <w:rsid w:val="00BF3B0D"/>
    <w:rsid w:val="00BF7FD8"/>
    <w:rsid w:val="00C11F7F"/>
    <w:rsid w:val="00C1388E"/>
    <w:rsid w:val="00C26062"/>
    <w:rsid w:val="00C30D0C"/>
    <w:rsid w:val="00C41CBE"/>
    <w:rsid w:val="00C45AA6"/>
    <w:rsid w:val="00C45B1E"/>
    <w:rsid w:val="00C6280E"/>
    <w:rsid w:val="00C6309B"/>
    <w:rsid w:val="00C67A36"/>
    <w:rsid w:val="00C71E4E"/>
    <w:rsid w:val="00C73273"/>
    <w:rsid w:val="00C87644"/>
    <w:rsid w:val="00C94C15"/>
    <w:rsid w:val="00CB22A9"/>
    <w:rsid w:val="00CB3AE3"/>
    <w:rsid w:val="00CB6211"/>
    <w:rsid w:val="00CC31A5"/>
    <w:rsid w:val="00CC6D71"/>
    <w:rsid w:val="00CD4650"/>
    <w:rsid w:val="00CD6661"/>
    <w:rsid w:val="00CD6A0B"/>
    <w:rsid w:val="00CD7BC2"/>
    <w:rsid w:val="00CE09EF"/>
    <w:rsid w:val="00CF0FAE"/>
    <w:rsid w:val="00CF2283"/>
    <w:rsid w:val="00CF5E93"/>
    <w:rsid w:val="00D11638"/>
    <w:rsid w:val="00D1751F"/>
    <w:rsid w:val="00D25049"/>
    <w:rsid w:val="00D30041"/>
    <w:rsid w:val="00D31D2C"/>
    <w:rsid w:val="00D33F3D"/>
    <w:rsid w:val="00D40C86"/>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E02F10"/>
    <w:rsid w:val="00E0501D"/>
    <w:rsid w:val="00E078FB"/>
    <w:rsid w:val="00E1076F"/>
    <w:rsid w:val="00E11130"/>
    <w:rsid w:val="00E13D1F"/>
    <w:rsid w:val="00E153A4"/>
    <w:rsid w:val="00E22A87"/>
    <w:rsid w:val="00E26CA0"/>
    <w:rsid w:val="00E27759"/>
    <w:rsid w:val="00E35235"/>
    <w:rsid w:val="00E374AB"/>
    <w:rsid w:val="00E40396"/>
    <w:rsid w:val="00E44F28"/>
    <w:rsid w:val="00E4507C"/>
    <w:rsid w:val="00E466BF"/>
    <w:rsid w:val="00E477C2"/>
    <w:rsid w:val="00E63946"/>
    <w:rsid w:val="00E718A3"/>
    <w:rsid w:val="00E7433B"/>
    <w:rsid w:val="00E76EE1"/>
    <w:rsid w:val="00E81A33"/>
    <w:rsid w:val="00E82C32"/>
    <w:rsid w:val="00E92AC5"/>
    <w:rsid w:val="00E9448A"/>
    <w:rsid w:val="00E9683C"/>
    <w:rsid w:val="00EA260A"/>
    <w:rsid w:val="00EE2CFC"/>
    <w:rsid w:val="00EF30DE"/>
    <w:rsid w:val="00EF4727"/>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7E3"/>
    <w:rsid w:val="00F94B97"/>
    <w:rsid w:val="00F957C3"/>
    <w:rsid w:val="00FA3BCE"/>
    <w:rsid w:val="00FB09C9"/>
    <w:rsid w:val="00FB4101"/>
    <w:rsid w:val="00FB492B"/>
    <w:rsid w:val="00FB7146"/>
    <w:rsid w:val="00FC2061"/>
    <w:rsid w:val="00FC3D95"/>
    <w:rsid w:val="00FC601D"/>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dryad.org/stash/dataset/doi:10.5061/dryad.ghx3ffbj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7591</TotalTime>
  <Pages>19</Pages>
  <Words>7577</Words>
  <Characters>43189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10</cp:revision>
  <dcterms:created xsi:type="dcterms:W3CDTF">2020-07-22T16:34:00Z</dcterms:created>
  <dcterms:modified xsi:type="dcterms:W3CDTF">2020-10-01T23:30:00Z</dcterms:modified>
</cp:coreProperties>
</file>