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33AE91BB"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Fornara, 2013; Tsuji et al., 2013; Andres and Coupland, 2012; Tsuji et al., 2011; Wilczek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pathways to regulate flowering (Wei et al., 2020; Brambilla and Fornara,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So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greenup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569109A3"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 and these two genetic subpopulations had the most distinct phenological responses across our common gardens</w:t>
      </w:r>
      <w:r w:rsidR="0052324B">
        <w:t>,</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were reflected in strong negative phenotypic correlations for greenup in the Gulf and Midwest populations between the four northern and three Texas common gardens and the generally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greenup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greenup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A846AF4" w:rsidR="0052324B" w:rsidRPr="005D2E94" w:rsidRDefault="0052324B" w:rsidP="0052324B">
      <w:pPr>
        <w:ind w:firstLine="720"/>
      </w:pPr>
      <w:r>
        <w:t xml:space="preserve">We determined </w:t>
      </w:r>
      <w:r w:rsidR="00D807FC">
        <w:t>n</w:t>
      </w:r>
      <w:r>
        <w:t>arrow-sense heritabilities (h</w:t>
      </w:r>
      <w:r>
        <w:rPr>
          <w:vertAlign w:val="superscript"/>
        </w:rPr>
        <w:t>2</w:t>
      </w:r>
      <w:r>
        <w:t>)</w:t>
      </w:r>
      <w:r>
        <w:rPr>
          <w:vertAlign w:val="superscript"/>
        </w:rPr>
        <w:t xml:space="preserve"> </w:t>
      </w:r>
      <w:r>
        <w:t xml:space="preserve">for greenup and flowering dates at single common gardens and across all eight common gardens (Figure 1C). To allow for the possibility that different subpopulations </w:t>
      </w:r>
      <w:r w:rsidR="00D807FC">
        <w:t xml:space="preserve">or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on average for greenup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greenup at our OK and NE common gardens. Greenup dates at these sites were </w:t>
      </w:r>
      <w:r>
        <w:lastRenderedPageBreak/>
        <w:t xml:space="preserve">uncorrelated </w:t>
      </w:r>
      <w:r w:rsidR="00BC47FE">
        <w:t xml:space="preserve">or negatively correlated </w:t>
      </w:r>
      <w:r>
        <w:t>with greenup dates for clonal replicates at other sites (Figure 1B). These negative and small correlations undoubtedly contributed to the low h</w:t>
      </w:r>
      <w:r>
        <w:rPr>
          <w:vertAlign w:val="superscript"/>
        </w:rPr>
        <w:t>2</w:t>
      </w:r>
      <w:r>
        <w:t xml:space="preserve"> values for greenup and flowering date across all eight sites: h</w:t>
      </w:r>
      <w:r>
        <w:rPr>
          <w:vertAlign w:val="superscript"/>
        </w:rPr>
        <w:t>2</w:t>
      </w:r>
      <w:r>
        <w:t xml:space="preserve"> was </w:t>
      </w:r>
      <w:r w:rsidR="00BC47FE">
        <w:t>0.</w:t>
      </w:r>
      <w:r w:rsidR="00581C71">
        <w:t>8</w:t>
      </w:r>
      <w:r>
        <w:t xml:space="preserve">% for greenup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1CC984E3"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a flowering trait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0169422F"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environmental cues (Supplementary Figure/Table).</w:t>
      </w:r>
      <w:r w:rsidR="00445456">
        <w:t xml:space="preserve"> </w:t>
      </w:r>
      <w:r w:rsidR="00D862AA">
        <w:t xml:space="preserve">G and GxE estimates for greenup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greenup explained more variance </w:t>
      </w:r>
      <w:r w:rsidR="00701E0F">
        <w:t xml:space="preserve">than greenup date </w:t>
      </w:r>
      <w:r w:rsidR="004B4258">
        <w:t xml:space="preserve">for the Midwest subpopulation </w:t>
      </w:r>
      <w:r w:rsidR="006B248D">
        <w:t>in the North</w:t>
      </w:r>
      <w:r w:rsidR="004B4258">
        <w:t xml:space="preserve">. For other combinations of subpopulations and site subsets, greenup date outperformed greenup as functions of weather. </w:t>
      </w:r>
      <w:r w:rsidR="002229F9">
        <w:t xml:space="preserve">This result likely indicates that the weather functions we chose are </w:t>
      </w:r>
      <w:r w:rsidR="004B4258">
        <w:t xml:space="preserve">not cuing greenup. </w:t>
      </w:r>
      <w:r w:rsidR="002229F9">
        <w:t>Additional signals such as soil temperatures or chilling days may influence greenup for each subpopulation within its native range; however, we did not have good proxies for these values for this experiment.</w:t>
      </w:r>
    </w:p>
    <w:p w14:paraId="3D48899C" w14:textId="18BE58D6" w:rsidR="00741E58" w:rsidRDefault="00D862AA" w:rsidP="00973DCA">
      <w:pPr>
        <w:ind w:firstLine="720"/>
      </w:pPr>
      <w:r>
        <w:t>In contrast</w:t>
      </w:r>
      <w:r w:rsidR="009769D6">
        <w:t xml:space="preserve"> to greenup date, flowering date had moderate </w:t>
      </w:r>
      <w:r w:rsidR="002B1044">
        <w:t>G and GxE</w:t>
      </w:r>
      <w:r w:rsidR="0074227B">
        <w:t>, and these values were significantly increased by defining flowering as functions of weather based environmental cues (Figure 1D). In the Gulf subpopulation, daylength was the only cue that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was the only cue that explained more G</w:t>
      </w:r>
      <w:r w:rsidR="005C5A80">
        <w:t xml:space="preserve"> (5.8% +/- 2.8% vs 23.8% +/- 6.1%)</w:t>
      </w:r>
      <w:r w:rsidR="00CC31A5">
        <w:t>, while three additional cues, daylength, rainfall between greenup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greenup and flowering as functions of environmental cues</w:t>
      </w:r>
    </w:p>
    <w:p w14:paraId="1C1F1F16" w14:textId="0F791AC9" w:rsidR="00177EE0" w:rsidRDefault="00177EE0" w:rsidP="007500CC">
      <w:r>
        <w:tab/>
      </w:r>
      <w:r w:rsidR="000F364E">
        <w:t>Across our eight common gardens, we</w:t>
      </w:r>
      <w:r w:rsidR="006279C0">
        <w:t xml:space="preserve"> observed</w:t>
      </w:r>
      <w:r w:rsidR="000F364E">
        <w:t xml:space="preserve"> heritable genetic variation in these two genetic subpopulations for two distinct flowering time cues, and little heritable genetic variation for </w:t>
      </w:r>
      <w:r w:rsidR="006279C0">
        <w:t xml:space="preserve">greenup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as functions of daylength at flowering and GDD between greenup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1C2D0FA1" w14:textId="340554C1" w:rsidR="000E0B41" w:rsidRDefault="000E0B41" w:rsidP="007500CC"/>
    <w:p w14:paraId="4B9151BF" w14:textId="63BA0D39" w:rsidR="006279C0" w:rsidRDefault="006279C0" w:rsidP="007500CC">
      <w:pPr>
        <w:rPr>
          <w:i/>
          <w:iCs/>
        </w:rPr>
      </w:pPr>
      <w:r w:rsidRPr="006279C0">
        <w:rPr>
          <w:i/>
          <w:iCs/>
        </w:rPr>
        <w:t>Parag</w:t>
      </w:r>
      <w:r>
        <w:rPr>
          <w:i/>
          <w:iCs/>
        </w:rPr>
        <w:t>raphs about G effects for greenup at Texas and North sites</w:t>
      </w:r>
      <w:r w:rsidR="00775237">
        <w:rPr>
          <w:i/>
          <w:iCs/>
        </w:rPr>
        <w:t>?</w:t>
      </w:r>
    </w:p>
    <w:p w14:paraId="63B0335F" w14:textId="7C54FF8B" w:rsidR="006279C0" w:rsidRDefault="006279C0" w:rsidP="006279C0">
      <w:pPr>
        <w:rPr>
          <w:i/>
          <w:iCs/>
        </w:rPr>
      </w:pPr>
      <w:r w:rsidRPr="006279C0">
        <w:rPr>
          <w:i/>
          <w:iCs/>
        </w:rPr>
        <w:t>Parag</w:t>
      </w:r>
      <w:r>
        <w:rPr>
          <w:i/>
          <w:iCs/>
        </w:rPr>
        <w:t xml:space="preserve">raphs about G effects for </w:t>
      </w:r>
      <w:r>
        <w:rPr>
          <w:i/>
          <w:iCs/>
        </w:rPr>
        <w:t>flowering</w:t>
      </w:r>
      <w:r>
        <w:rPr>
          <w:i/>
          <w:iCs/>
        </w:rPr>
        <w:t xml:space="preserve"> at Texas and North sites</w:t>
      </w:r>
      <w:r w:rsidR="00775237">
        <w:rPr>
          <w:i/>
          <w:iCs/>
        </w:rPr>
        <w:t>?</w:t>
      </w:r>
    </w:p>
    <w:p w14:paraId="3AA5B532" w14:textId="77777777" w:rsidR="006279C0" w:rsidRPr="006279C0" w:rsidRDefault="006279C0" w:rsidP="007500CC">
      <w:pPr>
        <w:rPr>
          <w:i/>
          <w:iCs/>
        </w:rPr>
      </w:pPr>
    </w:p>
    <w:p w14:paraId="16E29CD1" w14:textId="77777777" w:rsidR="008862B4" w:rsidRDefault="008862B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54FF9449" w:rsidR="003B3194" w:rsidRDefault="003B3194" w:rsidP="007500CC">
      <w:r>
        <w:tab/>
        <w:t xml:space="preserve">We next evaluated the genotype by environment effects of flowering as </w:t>
      </w:r>
      <w:r w:rsidR="009F2E07">
        <w:t xml:space="preserve">functions </w:t>
      </w:r>
      <w:r>
        <w:t>of daylength at flowering</w:t>
      </w:r>
      <w:r w:rsidR="009F2E07">
        <w:t>,</w:t>
      </w:r>
      <w:r>
        <w:t xml:space="preserve"> GDD between greenup and flowering</w:t>
      </w:r>
      <w:r w:rsidR="00F52223">
        <w:t>, rainfall on the day of flowering, and rainfall between greenup and flowering</w:t>
      </w:r>
      <w:r>
        <w:t>. To do this, we conducted univariate GWAS for flowering at each common garden</w:t>
      </w:r>
      <w:r w:rsidR="00607891">
        <w:t xml:space="preserve"> as functions of Julian date, photoperiod, temperature, and rainfall</w:t>
      </w:r>
      <w:r>
        <w:t>, then analyzed the allelic effects of unlinked SNPs across common garden sites for the top XK SNPs using mash</w:t>
      </w:r>
      <w:r w:rsidR="002C0566">
        <w:t>, both within and between genetic subpopulations</w:t>
      </w:r>
      <w:r>
        <w:t xml:space="preserve">. </w:t>
      </w:r>
    </w:p>
    <w:p w14:paraId="6BE8A8CE" w14:textId="0AA98D17" w:rsidR="00F52223" w:rsidRPr="00F52223" w:rsidRDefault="00F52223" w:rsidP="007500CC">
      <w:pPr>
        <w:rPr>
          <w:i/>
          <w:iCs/>
        </w:rPr>
      </w:pPr>
      <w:r>
        <w:rPr>
          <w:i/>
          <w:iCs/>
        </w:rPr>
        <w:t>Paragraph about GxE effects for flowering in the Gulf subpop</w:t>
      </w:r>
    </w:p>
    <w:p w14:paraId="16928E1A" w14:textId="4A43D3E7" w:rsidR="00F52223" w:rsidRPr="00F52223" w:rsidRDefault="00F52223" w:rsidP="00F52223">
      <w:pPr>
        <w:rPr>
          <w:i/>
          <w:iCs/>
        </w:rPr>
      </w:pPr>
      <w:r>
        <w:rPr>
          <w:i/>
          <w:iCs/>
        </w:rPr>
        <w:t xml:space="preserve">Paragraph about GxE effects for flowering in the </w:t>
      </w:r>
      <w:r>
        <w:rPr>
          <w:i/>
          <w:iCs/>
        </w:rPr>
        <w:t>Midwest</w:t>
      </w:r>
      <w:r>
        <w:rPr>
          <w:i/>
          <w:iCs/>
        </w:rPr>
        <w:t xml:space="preserve"> subpop</w:t>
      </w:r>
    </w:p>
    <w:p w14:paraId="43EEB2B9" w14:textId="1F8916DA" w:rsidR="00816D45" w:rsidRDefault="00816D45" w:rsidP="00816D45">
      <w:pPr>
        <w:rPr>
          <w:i/>
          <w:iCs/>
        </w:rPr>
      </w:pPr>
      <w:r>
        <w:rPr>
          <w:i/>
          <w:iCs/>
        </w:rPr>
        <w:t xml:space="preserve">Paragraph about GxE effects for flowering in </w:t>
      </w:r>
      <w:r>
        <w:rPr>
          <w:i/>
          <w:iCs/>
        </w:rPr>
        <w:t xml:space="preserve">both </w:t>
      </w:r>
      <w:r>
        <w:rPr>
          <w:i/>
          <w:iCs/>
        </w:rPr>
        <w:t>subpop</w:t>
      </w:r>
      <w:r>
        <w:rPr>
          <w:i/>
          <w:iCs/>
        </w:rPr>
        <w:t>s?</w:t>
      </w:r>
    </w:p>
    <w:p w14:paraId="6DA60475" w14:textId="1135206E" w:rsidR="00816D45" w:rsidRPr="00F52223" w:rsidRDefault="00816D45" w:rsidP="00816D45">
      <w:pPr>
        <w:rPr>
          <w:i/>
          <w:iCs/>
        </w:rPr>
      </w:pPr>
      <w:r>
        <w:rPr>
          <w:i/>
          <w:iCs/>
        </w:rPr>
        <w:t>Overlap between these GxE effects? There isn’t much, I assume?</w:t>
      </w:r>
    </w:p>
    <w:p w14:paraId="043EF42E" w14:textId="77777777" w:rsidR="003B3194" w:rsidRDefault="003B3194" w:rsidP="00F52223">
      <w:pPr>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Confirmation of genetic and genotype-by environment effects using a f</w:t>
      </w:r>
      <w:r w:rsidR="00F4170F">
        <w:rPr>
          <w:i/>
          <w:iCs/>
        </w:rPr>
        <w:t xml:space="preserve">ourway cross </w:t>
      </w:r>
    </w:p>
    <w:p w14:paraId="14152C8A" w14:textId="1CE76B50"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w:t>
      </w:r>
      <w:r w:rsidR="00950031">
        <w:lastRenderedPageBreak/>
        <w:t>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w:t>
      </w:r>
      <w:r w:rsidR="00D53A1E">
        <w:t>.</w:t>
      </w:r>
    </w:p>
    <w:p w14:paraId="15133EDB" w14:textId="7D6FD85D"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D53A1E">
        <w:t>.</w:t>
      </w:r>
      <w:r w:rsidR="0047633C">
        <w:t xml:space="preserve">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w:t>
      </w:r>
      <w:r w:rsidR="005C1AE9">
        <w:lastRenderedPageBreak/>
        <w:t xml:space="preserve">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t>in</w:t>
      </w:r>
      <w:r w:rsidR="00872127">
        <w:t xml:space="preserve"> 2019 for seven fourway sites. </w:t>
      </w:r>
      <w:r w:rsidR="0008173C">
        <w:t xml:space="preserve">We analyzed the flowering phenotype in two ways: as a function of Julian date (‘flowering date’), and as a function of cumulative GDD between greenup and flowering (‘flowering GDD’). </w:t>
      </w:r>
      <w:r w:rsidR="00872127">
        <w:t>There were no significant QTL for greenup.</w:t>
      </w:r>
      <w:r>
        <w:t xml:space="preserve"> There were eight QTL for flowering date; the largest QTL were on Chr02N, Chr04K, and Chr05N</w:t>
      </w:r>
      <w:r w:rsidR="005A0A1B">
        <w:t xml:space="preserve"> (Figure 4)</w:t>
      </w:r>
      <w:r>
        <w:t xml:space="preserve">. </w:t>
      </w:r>
      <w:r w:rsidR="0008173C">
        <w:t xml:space="preserve">There were </w:t>
      </w:r>
      <w:r w:rsidR="00674F1D">
        <w:t>five</w:t>
      </w:r>
      <w:r w:rsidR="0008173C">
        <w:t xml:space="preser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48C630A6" w:rsidR="002A0403" w:rsidRDefault="002A0403" w:rsidP="00DC1F5D">
      <w:pPr>
        <w:ind w:firstLine="720"/>
      </w:pPr>
      <w:r>
        <w:t xml:space="preserve">All eight QTL </w:t>
      </w:r>
      <w:r w:rsidR="00892794">
        <w:t xml:space="preserve">for flowering date </w:t>
      </w:r>
      <w:r>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xml:space="preserve">, four of eight lowland alleles delayed flowering date – four of the </w:t>
      </w:r>
      <w:r w:rsidR="005D4CBB">
        <w:lastRenderedPageBreak/>
        <w:t>same five regions that delayed flowering date in the AxB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site</w:t>
      </w:r>
      <w:r w:rsidR="00855134">
        <w:t xml:space="preserve"> by QTL combinations for the AxB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AxB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CxD</w:t>
      </w:r>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AxB cross, while four accelerated it in the CxD cross. At TX1, two accelerated flowering by decreasing GDD </w:t>
      </w:r>
      <w:r w:rsidR="00E718A3">
        <w:lastRenderedPageBreak/>
        <w:t>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colocalized with one or more of 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lastRenderedPageBreak/>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r w:rsidRPr="00D42FFA">
        <w:t>LSRFortessa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r w:rsidRPr="002918DA">
        <w:rPr>
          <w:b/>
          <w:bCs/>
          <w:i/>
          <w:iCs/>
        </w:rPr>
        <w:t xml:space="preserve">Fourway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2E63012F"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8962C" w14:textId="77777777" w:rsidR="00B075BB" w:rsidRDefault="00B075BB" w:rsidP="007B55E9">
      <w:pPr>
        <w:spacing w:after="0" w:line="240" w:lineRule="auto"/>
      </w:pPr>
      <w:r>
        <w:separator/>
      </w:r>
    </w:p>
  </w:endnote>
  <w:endnote w:type="continuationSeparator" w:id="0">
    <w:p w14:paraId="379784AD" w14:textId="77777777" w:rsidR="00B075BB" w:rsidRDefault="00B075BB"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19231" w14:textId="77777777" w:rsidR="00B075BB" w:rsidRDefault="00B075BB" w:rsidP="007B55E9">
      <w:pPr>
        <w:spacing w:after="0" w:line="240" w:lineRule="auto"/>
      </w:pPr>
      <w:r>
        <w:separator/>
      </w:r>
    </w:p>
  </w:footnote>
  <w:footnote w:type="continuationSeparator" w:id="0">
    <w:p w14:paraId="74992109" w14:textId="77777777" w:rsidR="00B075BB" w:rsidRDefault="00B075BB"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43C1"/>
    <w:rsid w:val="000B56FC"/>
    <w:rsid w:val="000B6138"/>
    <w:rsid w:val="000C3919"/>
    <w:rsid w:val="000D5DCA"/>
    <w:rsid w:val="000E0B41"/>
    <w:rsid w:val="000E1A44"/>
    <w:rsid w:val="000E5790"/>
    <w:rsid w:val="000F364E"/>
    <w:rsid w:val="00112F2A"/>
    <w:rsid w:val="00113FD9"/>
    <w:rsid w:val="00120602"/>
    <w:rsid w:val="001218C4"/>
    <w:rsid w:val="00131685"/>
    <w:rsid w:val="00143ED7"/>
    <w:rsid w:val="00144530"/>
    <w:rsid w:val="001475B5"/>
    <w:rsid w:val="0016033C"/>
    <w:rsid w:val="00176CA1"/>
    <w:rsid w:val="00177EE0"/>
    <w:rsid w:val="001950FC"/>
    <w:rsid w:val="001A454F"/>
    <w:rsid w:val="001A47B0"/>
    <w:rsid w:val="001B04AB"/>
    <w:rsid w:val="001B1D8C"/>
    <w:rsid w:val="001B6997"/>
    <w:rsid w:val="001D1108"/>
    <w:rsid w:val="001D5AD0"/>
    <w:rsid w:val="001E0A27"/>
    <w:rsid w:val="001F188C"/>
    <w:rsid w:val="001F591D"/>
    <w:rsid w:val="001F7232"/>
    <w:rsid w:val="002004B3"/>
    <w:rsid w:val="00203580"/>
    <w:rsid w:val="00205939"/>
    <w:rsid w:val="002059D6"/>
    <w:rsid w:val="00205EC7"/>
    <w:rsid w:val="00207876"/>
    <w:rsid w:val="002129B4"/>
    <w:rsid w:val="002229F9"/>
    <w:rsid w:val="0022308F"/>
    <w:rsid w:val="00233A42"/>
    <w:rsid w:val="00236B2F"/>
    <w:rsid w:val="00247A73"/>
    <w:rsid w:val="00250461"/>
    <w:rsid w:val="002531BE"/>
    <w:rsid w:val="00255B02"/>
    <w:rsid w:val="00261633"/>
    <w:rsid w:val="002621DA"/>
    <w:rsid w:val="00263D55"/>
    <w:rsid w:val="00265861"/>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305FD5"/>
    <w:rsid w:val="00313DBE"/>
    <w:rsid w:val="00321513"/>
    <w:rsid w:val="00331407"/>
    <w:rsid w:val="00335591"/>
    <w:rsid w:val="00336B7B"/>
    <w:rsid w:val="0034545A"/>
    <w:rsid w:val="00351571"/>
    <w:rsid w:val="003528AB"/>
    <w:rsid w:val="00360B3A"/>
    <w:rsid w:val="00360D0B"/>
    <w:rsid w:val="00374233"/>
    <w:rsid w:val="00390283"/>
    <w:rsid w:val="003B275E"/>
    <w:rsid w:val="003B3194"/>
    <w:rsid w:val="003D0CEF"/>
    <w:rsid w:val="003D2058"/>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A5825"/>
    <w:rsid w:val="004A60B9"/>
    <w:rsid w:val="004B4258"/>
    <w:rsid w:val="004C5D9D"/>
    <w:rsid w:val="004E7835"/>
    <w:rsid w:val="004F492B"/>
    <w:rsid w:val="004F5292"/>
    <w:rsid w:val="005073D5"/>
    <w:rsid w:val="0052324B"/>
    <w:rsid w:val="0053056F"/>
    <w:rsid w:val="00532637"/>
    <w:rsid w:val="00542985"/>
    <w:rsid w:val="00543C77"/>
    <w:rsid w:val="00547E2C"/>
    <w:rsid w:val="0056359B"/>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607891"/>
    <w:rsid w:val="00607E2B"/>
    <w:rsid w:val="0061553C"/>
    <w:rsid w:val="0062190D"/>
    <w:rsid w:val="00622ED6"/>
    <w:rsid w:val="006279C0"/>
    <w:rsid w:val="00654CFA"/>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57D"/>
    <w:rsid w:val="007500CC"/>
    <w:rsid w:val="007749EF"/>
    <w:rsid w:val="00775237"/>
    <w:rsid w:val="00781076"/>
    <w:rsid w:val="0078762E"/>
    <w:rsid w:val="007A2678"/>
    <w:rsid w:val="007A6ABF"/>
    <w:rsid w:val="007B4B3A"/>
    <w:rsid w:val="007B55E9"/>
    <w:rsid w:val="007C5880"/>
    <w:rsid w:val="007C5A21"/>
    <w:rsid w:val="007D18ED"/>
    <w:rsid w:val="007D54E0"/>
    <w:rsid w:val="007E4C5F"/>
    <w:rsid w:val="007F704B"/>
    <w:rsid w:val="00816D45"/>
    <w:rsid w:val="0082026A"/>
    <w:rsid w:val="00846418"/>
    <w:rsid w:val="00854BAD"/>
    <w:rsid w:val="00855134"/>
    <w:rsid w:val="00857BAE"/>
    <w:rsid w:val="00866E58"/>
    <w:rsid w:val="00872127"/>
    <w:rsid w:val="00883C70"/>
    <w:rsid w:val="00885040"/>
    <w:rsid w:val="008856CF"/>
    <w:rsid w:val="008862B4"/>
    <w:rsid w:val="008869BD"/>
    <w:rsid w:val="00892794"/>
    <w:rsid w:val="008934C9"/>
    <w:rsid w:val="008945E9"/>
    <w:rsid w:val="008D7BDE"/>
    <w:rsid w:val="008E2A5C"/>
    <w:rsid w:val="008E30F5"/>
    <w:rsid w:val="008E5129"/>
    <w:rsid w:val="008F7A3E"/>
    <w:rsid w:val="00905975"/>
    <w:rsid w:val="00911047"/>
    <w:rsid w:val="0091743B"/>
    <w:rsid w:val="009219A5"/>
    <w:rsid w:val="0092463E"/>
    <w:rsid w:val="00934EA3"/>
    <w:rsid w:val="00940202"/>
    <w:rsid w:val="00950031"/>
    <w:rsid w:val="0095061C"/>
    <w:rsid w:val="00954192"/>
    <w:rsid w:val="00973DCA"/>
    <w:rsid w:val="00975C00"/>
    <w:rsid w:val="009769D6"/>
    <w:rsid w:val="00980A54"/>
    <w:rsid w:val="00983E7E"/>
    <w:rsid w:val="009944C8"/>
    <w:rsid w:val="00995A51"/>
    <w:rsid w:val="009A0C54"/>
    <w:rsid w:val="009A1764"/>
    <w:rsid w:val="009A198E"/>
    <w:rsid w:val="009A6D99"/>
    <w:rsid w:val="009B6ED2"/>
    <w:rsid w:val="009B6EED"/>
    <w:rsid w:val="009D1BE5"/>
    <w:rsid w:val="009D2D00"/>
    <w:rsid w:val="009D3931"/>
    <w:rsid w:val="009D7E32"/>
    <w:rsid w:val="009E0622"/>
    <w:rsid w:val="009E6204"/>
    <w:rsid w:val="009E7BE1"/>
    <w:rsid w:val="009F0157"/>
    <w:rsid w:val="009F1E92"/>
    <w:rsid w:val="009F2E07"/>
    <w:rsid w:val="00A11543"/>
    <w:rsid w:val="00A1326C"/>
    <w:rsid w:val="00A2334A"/>
    <w:rsid w:val="00A238AD"/>
    <w:rsid w:val="00A27FB7"/>
    <w:rsid w:val="00A30C9D"/>
    <w:rsid w:val="00A44561"/>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38E9"/>
    <w:rsid w:val="00AE5D08"/>
    <w:rsid w:val="00AE6BF1"/>
    <w:rsid w:val="00AF1543"/>
    <w:rsid w:val="00AF4FC9"/>
    <w:rsid w:val="00AF5437"/>
    <w:rsid w:val="00B075BB"/>
    <w:rsid w:val="00B14B16"/>
    <w:rsid w:val="00B2786C"/>
    <w:rsid w:val="00B30A74"/>
    <w:rsid w:val="00B328C2"/>
    <w:rsid w:val="00B50C97"/>
    <w:rsid w:val="00B64EDF"/>
    <w:rsid w:val="00B71AB0"/>
    <w:rsid w:val="00B72807"/>
    <w:rsid w:val="00B91FBA"/>
    <w:rsid w:val="00B96AEC"/>
    <w:rsid w:val="00BA245F"/>
    <w:rsid w:val="00BA605A"/>
    <w:rsid w:val="00BA7E68"/>
    <w:rsid w:val="00BC47FE"/>
    <w:rsid w:val="00BD017F"/>
    <w:rsid w:val="00BE6B8D"/>
    <w:rsid w:val="00BE78DF"/>
    <w:rsid w:val="00BF7FD8"/>
    <w:rsid w:val="00C11F7F"/>
    <w:rsid w:val="00C1388E"/>
    <w:rsid w:val="00C26062"/>
    <w:rsid w:val="00C30D0C"/>
    <w:rsid w:val="00C41CBE"/>
    <w:rsid w:val="00C45AA6"/>
    <w:rsid w:val="00C45B1E"/>
    <w:rsid w:val="00C6280E"/>
    <w:rsid w:val="00C6309B"/>
    <w:rsid w:val="00C71E4E"/>
    <w:rsid w:val="00C73273"/>
    <w:rsid w:val="00C94C15"/>
    <w:rsid w:val="00CB3AE3"/>
    <w:rsid w:val="00CC31A5"/>
    <w:rsid w:val="00CC6D71"/>
    <w:rsid w:val="00CD4650"/>
    <w:rsid w:val="00CD6661"/>
    <w:rsid w:val="00CD6A0B"/>
    <w:rsid w:val="00CE09EF"/>
    <w:rsid w:val="00CF0FAE"/>
    <w:rsid w:val="00CF2283"/>
    <w:rsid w:val="00D11638"/>
    <w:rsid w:val="00D1751F"/>
    <w:rsid w:val="00D30041"/>
    <w:rsid w:val="00D33F3D"/>
    <w:rsid w:val="00D44CBF"/>
    <w:rsid w:val="00D53A1E"/>
    <w:rsid w:val="00D56099"/>
    <w:rsid w:val="00D56C76"/>
    <w:rsid w:val="00D57CE3"/>
    <w:rsid w:val="00D64DB5"/>
    <w:rsid w:val="00D72F4C"/>
    <w:rsid w:val="00D761BB"/>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1076F"/>
    <w:rsid w:val="00E11130"/>
    <w:rsid w:val="00E22A87"/>
    <w:rsid w:val="00E26CA0"/>
    <w:rsid w:val="00E27759"/>
    <w:rsid w:val="00E35235"/>
    <w:rsid w:val="00E374AB"/>
    <w:rsid w:val="00E40396"/>
    <w:rsid w:val="00E44F28"/>
    <w:rsid w:val="00E4507C"/>
    <w:rsid w:val="00E466BF"/>
    <w:rsid w:val="00E718A3"/>
    <w:rsid w:val="00E7433B"/>
    <w:rsid w:val="00E76EE1"/>
    <w:rsid w:val="00E81A33"/>
    <w:rsid w:val="00E82C32"/>
    <w:rsid w:val="00E92AC5"/>
    <w:rsid w:val="00E9448A"/>
    <w:rsid w:val="00EA260A"/>
    <w:rsid w:val="00EE2CFC"/>
    <w:rsid w:val="00EF30DE"/>
    <w:rsid w:val="00F00F74"/>
    <w:rsid w:val="00F1128C"/>
    <w:rsid w:val="00F16304"/>
    <w:rsid w:val="00F315B3"/>
    <w:rsid w:val="00F31FB2"/>
    <w:rsid w:val="00F33D87"/>
    <w:rsid w:val="00F40EC9"/>
    <w:rsid w:val="00F4170F"/>
    <w:rsid w:val="00F4253C"/>
    <w:rsid w:val="00F46AC8"/>
    <w:rsid w:val="00F52223"/>
    <w:rsid w:val="00F7771E"/>
    <w:rsid w:val="00F864CB"/>
    <w:rsid w:val="00F9061F"/>
    <w:rsid w:val="00F94B97"/>
    <w:rsid w:val="00F957C3"/>
    <w:rsid w:val="00FB09C9"/>
    <w:rsid w:val="00FB492B"/>
    <w:rsid w:val="00FB7146"/>
    <w:rsid w:val="00FC3D95"/>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18</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88</cp:revision>
  <dcterms:created xsi:type="dcterms:W3CDTF">2020-07-22T16:34:00Z</dcterms:created>
  <dcterms:modified xsi:type="dcterms:W3CDTF">2020-07-30T18:59:00Z</dcterms:modified>
</cp:coreProperties>
</file>