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BDEBEC5" w:rsidR="00C30D0C"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list</w:t>
      </w:r>
      <w:r w:rsidR="00045EB7">
        <w:t>__.</w:t>
      </w:r>
    </w:p>
    <w:p w14:paraId="5B49840D" w14:textId="77777777" w:rsidR="00CE4B3B" w:rsidRDefault="00CE4B3B" w:rsidP="0044729E">
      <w:pPr>
        <w:ind w:firstLine="720"/>
      </w:pPr>
    </w:p>
    <w:p w14:paraId="6833345B" w14:textId="67050685" w:rsidR="00C30D0C" w:rsidRDefault="00CE4B3B">
      <w:pPr>
        <w:rPr>
          <w:b/>
          <w:bCs/>
        </w:rPr>
      </w:pPr>
      <w:r>
        <w:rPr>
          <w:b/>
          <w:bCs/>
        </w:rPr>
        <w:br w:type="column"/>
      </w:r>
      <w:r w:rsidR="00BF7FD8" w:rsidRPr="00BF7FD8">
        <w:rPr>
          <w:b/>
          <w:bCs/>
        </w:rPr>
        <w:lastRenderedPageBreak/>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2BC7EA5A"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(Helianthus annus) </w:t>
      </w:r>
      <w:r w:rsidR="001E4573">
        <w:t xml:space="preserve">exhibit </w:t>
      </w:r>
      <w:r w:rsidR="004F2E0D">
        <w:t>day-neutra</w:t>
      </w:r>
      <w:r w:rsidR="001E4573">
        <w:t>l, facultative short day, and facultative long-day responses, which vary with their environment (Blackman, 2013).</w:t>
      </w:r>
    </w:p>
    <w:p w14:paraId="77913E7A" w14:textId="2A9CF520"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variation in GxE include common gardens and reciprocal transplant experiments between contrasting environments.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In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increased yields in a </w:t>
      </w:r>
      <w:r w:rsidR="009C5238">
        <w:lastRenderedPageBreak/>
        <w:t xml:space="preserve">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histories.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Genetic differences in flowering date and photoperiod response across these genetic subpopulations will be an early point of exploitation in biomass crop breeding.</w:t>
      </w:r>
    </w:p>
    <w:p w14:paraId="7DFF4020" w14:textId="5FEF71D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233D87" w:rsidP="004144D8">
      <w:pPr>
        <w:rPr>
          <w:b/>
          <w:bCs/>
        </w:rPr>
      </w:pPr>
      <w:r>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6D81B05"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w:t>
      </w:r>
      <w:proofErr w:type="gramStart"/>
      <w:r w:rsidR="00263D55">
        <w:t>gardens</w:t>
      </w:r>
      <w:r w:rsidR="0052324B">
        <w:t>,</w:t>
      </w:r>
      <w:r w:rsidR="002B031D">
        <w:t xml:space="preserve"> and</w:t>
      </w:r>
      <w:proofErr w:type="gramEnd"/>
      <w:r w:rsidR="002B031D">
        <w:t xml:space="preserve">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four northern and </w:t>
      </w:r>
      <w:r w:rsidR="001E4573">
        <w:t xml:space="preserve">the </w:t>
      </w:r>
      <w:r w:rsidR="0052324B">
        <w:t xml:space="preserve">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r w:rsidR="00AC32B9" w:rsidRPr="00233D87">
        <w:rPr>
          <w:i/>
          <w:iCs/>
          <w:sz w:val="18"/>
          <w:szCs w:val="18"/>
        </w:rPr>
        <w:lastRenderedPageBreak/>
        <w:t>Figure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FA9CD03"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w:t>
      </w:r>
      <w:proofErr w:type="spellStart"/>
      <w:r w:rsidR="0052324B">
        <w:t>heritabilities</w:t>
      </w:r>
      <w:proofErr w:type="spellEnd"/>
      <w:r w:rsidR="0052324B">
        <w:t xml:space="preserve"> (h</w:t>
      </w:r>
      <w:r w:rsidR="0052324B">
        <w:rPr>
          <w:vertAlign w:val="superscript"/>
        </w:rPr>
        <w:t>2</w:t>
      </w:r>
      <w:r w:rsidR="0052324B">
        <w:t>)</w:t>
      </w:r>
      <w:r w:rsidR="0052324B">
        <w:rPr>
          <w:vertAlign w:val="superscript"/>
        </w:rPr>
        <w:t xml:space="preserve"> </w:t>
      </w:r>
      <w:r w:rsidR="0052324B">
        <w:t>for greenup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common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These data indicated the presence of numerous rank-changing genotype by environment interactions for these phenotypes across these common gardens.</w:t>
      </w:r>
    </w:p>
    <w:p w14:paraId="7AE69B1E" w14:textId="3AE71E30"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73F56F46"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w:t>
      </w:r>
      <w:r w:rsidR="00975229">
        <w:t xml:space="preserve"> </w:t>
      </w:r>
      <w:r w:rsidR="00D862AA">
        <w:t xml:space="preserve">G and GxE estimates for greenup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3908F28D"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 xml:space="preserve">in the </w:t>
      </w:r>
      <w:r w:rsidR="00BA245F">
        <w:lastRenderedPageBreak/>
        <w:t>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41E69073" w14:textId="685E0198"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w:t>
      </w:r>
      <w:r w:rsidR="00975229">
        <w:t xml:space="preserve">consistent genetic associations for flowering across </w:t>
      </w:r>
      <w:r w:rsidR="00975229">
        <w:t xml:space="preserve">all eight sites as well as at </w:t>
      </w:r>
      <w:r w:rsidR="00975229">
        <w:t xml:space="preserve">two site subsets, the “Texas” </w:t>
      </w:r>
      <w:proofErr w:type="gramStart"/>
      <w:r w:rsidR="00975229">
        <w:t>gardens</w:t>
      </w:r>
      <w:proofErr w:type="gramEnd"/>
      <w:r w:rsidR="00975229">
        <w:t xml:space="preserve"> and the “North” gardens, which corresponded to the home ranges of the Gulf and Midwest subpopulations, respectively.</w:t>
      </w:r>
    </w:p>
    <w:p w14:paraId="34421DEF" w14:textId="6D27C567" w:rsidR="009F697B" w:rsidRDefault="00975229" w:rsidP="00975229">
      <w:pPr>
        <w:ind w:firstLine="720"/>
      </w:pPr>
      <w:r>
        <w:t xml:space="preserve">We first evaluated the suitability of GWAS on these environmental cues by comparing the strength of associations between GWAS on these cues and GWAS on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 xml:space="preserve">Indeed, the Gulf subpopulation only had significant associations for daylength in Texas, not for GDD, while the Midwest subpopulation only had significant associations for cumulative GDD in Texas, not for daylength. </w:t>
      </w:r>
    </w:p>
    <w:p w14:paraId="75D0B8F3" w14:textId="5039E763" w:rsidR="009E7B06" w:rsidRDefault="005F664E" w:rsidP="00CE4B3B">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20kb represents the inflection point where linkage disequilibrium decay flattens in this species (Lovell et al., 202X).</w:t>
      </w:r>
      <w:r w:rsidR="006779E3">
        <w:t xml:space="preserve"> </w:t>
      </w:r>
      <w:r w:rsidR="006779E3">
        <w:t xml:space="preserve">In nine single-subpopulation GWAS </w:t>
      </w:r>
      <w:r w:rsidR="006779E3">
        <w:t>that had</w:t>
      </w:r>
      <w:r w:rsidR="006779E3">
        <w:t xml:space="preserve"> associations above a 10% FDR, 22 20kb regions had associations in three or more GWAS (Figure 2), and 369 had associations in two or more GWAS. These regions in particular may underlie consistent genetic effects detectable across the species’ natural range. </w:t>
      </w:r>
      <w:r>
        <w:t xml:space="preserve"> </w:t>
      </w:r>
      <w:proofErr w:type="gramStart"/>
      <w:r w:rsidR="00233D87">
        <w:t>Typically</w:t>
      </w:r>
      <w:proofErr w:type="gramEnd"/>
      <w:r w:rsidR="00233D87" w:rsidRPr="0026306B">
        <w:rPr>
          <w:i/>
          <w:iCs/>
        </w:rPr>
        <w:t>__, associations did or did not overlap significantly in the same phenotypes among subpopulations?</w:t>
      </w:r>
      <w:r w:rsidR="0026306B">
        <w:rPr>
          <w:i/>
          <w:iCs/>
        </w:rPr>
        <w:t xml:space="preserve"> What about between sets of sites? This is GxE at the continental scale, point out.</w:t>
      </w:r>
      <w:r w:rsidR="00233D87" w:rsidRPr="0026306B">
        <w:rPr>
          <w:i/>
          <w:iCs/>
        </w:rPr>
        <w:t>__</w:t>
      </w:r>
      <w:r w:rsidR="00233D87" w:rsidRPr="006779E3">
        <w:t xml:space="preserve"> </w:t>
      </w:r>
      <w:r w:rsidR="004F7A78">
        <w:t>W</w:t>
      </w:r>
      <w:r w:rsidR="006779E3">
        <w:t>e next</w:t>
      </w:r>
      <w:r w:rsidR="004F7A78">
        <w:t xml:space="preserve"> determined if homologs from rice or </w:t>
      </w:r>
      <w:r w:rsidR="004F7A78" w:rsidRPr="00106BBD">
        <w:rPr>
          <w:i/>
          <w:iCs/>
        </w:rPr>
        <w:t>A. thaliana</w:t>
      </w:r>
      <w:r w:rsidR="004F7A78">
        <w:t xml:space="preserve"> with functionally validated 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p>
    <w:p w14:paraId="7B299B34" w14:textId="3D5186AE" w:rsidR="00CE4B3B" w:rsidRPr="00233D87" w:rsidRDefault="0026306B" w:rsidP="00CE4B3B">
      <w:pPr>
        <w:pBdr>
          <w:top w:val="nil"/>
          <w:left w:val="nil"/>
          <w:bottom w:val="nil"/>
          <w:right w:val="nil"/>
          <w:between w:val="nil"/>
        </w:pBdr>
        <w:spacing w:after="120"/>
        <w:rPr>
          <w:sz w:val="18"/>
          <w:szCs w:val="18"/>
        </w:rPr>
      </w:pPr>
      <w:r>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Pr>
          <w:noProof/>
        </w:rPr>
        <w:drawing>
          <wp:anchor distT="0" distB="0" distL="114300" distR="114300" simplePos="0" relativeHeight="251683840" behindDoc="0" locked="0" layoutInCell="1" allowOverlap="1" wp14:anchorId="34CCDFD2" wp14:editId="7BA88F5C">
            <wp:simplePos x="0" y="0"/>
            <wp:positionH relativeFrom="margin">
              <wp:align>left</wp:align>
            </wp:positionH>
            <wp:positionV relativeFrom="paragraph">
              <wp:posOffset>601980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77DEE704" w:rsidR="00221FC8" w:rsidRPr="00233D87" w:rsidRDefault="00221FC8" w:rsidP="00233D87">
      <w:pPr>
        <w:pBdr>
          <w:top w:val="nil"/>
          <w:left w:val="nil"/>
          <w:bottom w:val="nil"/>
          <w:right w:val="nil"/>
          <w:between w:val="nil"/>
        </w:pBdr>
        <w:spacing w:after="120"/>
      </w:pPr>
      <w:r>
        <w:rPr>
          <w:i/>
          <w:iCs/>
        </w:rPr>
        <w:t xml:space="preserve">Confirmation of genetic effects using a </w:t>
      </w:r>
      <w:proofErr w:type="spellStart"/>
      <w:r>
        <w:rPr>
          <w:i/>
          <w:iCs/>
        </w:rPr>
        <w:t>fourway</w:t>
      </w:r>
      <w:proofErr w:type="spellEnd"/>
      <w:r>
        <w:rPr>
          <w:i/>
          <w:iCs/>
        </w:rPr>
        <w:t xml:space="preserve">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the 2016-2019 seasons.</w:t>
      </w:r>
    </w:p>
    <w:p w14:paraId="1F87C4E4" w14:textId="6E1156FC" w:rsidR="00C67A36" w:rsidRDefault="00D25049" w:rsidP="00C67A36">
      <w:pPr>
        <w:ind w:firstLine="720"/>
      </w:pPr>
      <w:r>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w:t>
      </w:r>
      <w:r>
        <w:lastRenderedPageBreak/>
        <w:t xml:space="preserve">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46B915E" w:rsidR="00795EC4" w:rsidRDefault="00D25049" w:rsidP="007A4790">
      <w:pPr>
        <w:ind w:firstLine="720"/>
      </w:pPr>
      <w:r>
        <w:t xml:space="preserve">To confirm associations for genetic BLUPs for flowering in our diversity 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w:t>
      </w:r>
      <w:r w:rsidR="00233D87" w:rsidRPr="0026306B">
        <w:rPr>
          <w:i/>
          <w:iCs/>
        </w:rPr>
        <w:t>_</w:t>
      </w:r>
      <w:proofErr w:type="gramStart"/>
      <w:r w:rsidR="00233D87" w:rsidRPr="0026306B">
        <w:rPr>
          <w:i/>
          <w:iCs/>
        </w:rPr>
        <w:t>_</w:t>
      </w:r>
      <w:r w:rsidR="00A447C6" w:rsidRPr="0026306B">
        <w:rPr>
          <w:i/>
          <w:iCs/>
        </w:rPr>
        <w:t>(</w:t>
      </w:r>
      <w:proofErr w:type="gramEnd"/>
      <w:r w:rsidR="00A447C6" w:rsidRPr="0026306B">
        <w:rPr>
          <w:i/>
          <w:iCs/>
        </w:rPr>
        <w:t>or daylength change in seconds…)</w:t>
      </w:r>
      <w:r w:rsidR="00233D87" w:rsidRPr="0026306B">
        <w:rPr>
          <w:i/>
          <w:iCs/>
        </w:rPr>
        <w:t>__</w:t>
      </w:r>
      <w:r w:rsidR="00A447C6">
        <w:t xml:space="preserve">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53C67A1B" w:rsidR="003B3194" w:rsidRDefault="001950CC" w:rsidP="001950CC">
      <w:pPr>
        <w:rPr>
          <w:i/>
          <w:iCs/>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evaluated GxE in flowering as a function of five environmental cues: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w:t>
      </w:r>
      <w:r w:rsidR="00233D87">
        <w:t xml:space="preserve"> the same SNP set is</w:t>
      </w:r>
      <w:r w:rsidR="0024741A">
        <w:t xml:space="preserve"> used in multiple univariate GWAS, </w:t>
      </w:r>
      <w:r w:rsidR="00233D87">
        <w:t xml:space="preserve">a subsequent mash analysis </w:t>
      </w:r>
      <w:r w:rsidR="0024741A">
        <w:t>share</w:t>
      </w:r>
      <w:r w:rsidR="00233D87">
        <w:t>s</w:t>
      </w:r>
      <w:r w:rsidR="0024741A">
        <w:t xml:space="preserve"> information on patterns of effect size and direction </w:t>
      </w:r>
      <w:r w:rsidR="00233D87">
        <w:t>for SNPs across these</w:t>
      </w:r>
      <w:r w:rsidR="0024741A">
        <w:t xml:space="preserve"> GWAS, improving the power to detect significant, shared results.</w:t>
      </w:r>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lastRenderedPageBreak/>
        <w:t xml:space="preserve">Overlap between these GxE effects? There isn’t much, I </w:t>
      </w:r>
      <w:proofErr w:type="gramStart"/>
      <w:r>
        <w:rPr>
          <w:i/>
          <w:iCs/>
        </w:rPr>
        <w:t>assume?</w:t>
      </w:r>
      <w:proofErr w:type="gramEnd"/>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13536E88" w:rsidR="00AC59C4" w:rsidRPr="0026306B" w:rsidRDefault="00AC59C4" w:rsidP="00866E58">
      <w:pPr>
        <w:pStyle w:val="ListParagraph"/>
        <w:numPr>
          <w:ilvl w:val="0"/>
          <w:numId w:val="2"/>
        </w:numPr>
        <w:rPr>
          <w:i/>
          <w:iCs/>
        </w:rPr>
      </w:pPr>
      <w:r w:rsidRPr="0026306B">
        <w:rPr>
          <w:i/>
          <w:iCs/>
        </w:rPr>
        <w:t xml:space="preserve">Possible reasons why we </w:t>
      </w:r>
      <w:proofErr w:type="gramStart"/>
      <w:r w:rsidRPr="0026306B">
        <w:rPr>
          <w:i/>
          <w:iCs/>
        </w:rPr>
        <w:t>didn’t</w:t>
      </w:r>
      <w:proofErr w:type="gramEnd"/>
      <w:r w:rsidRPr="0026306B">
        <w:rPr>
          <w:i/>
          <w:iCs/>
        </w:rPr>
        <w:t xml:space="preserve"> find candidates in GWAS for other three QTL intervals: false negatives, type of allele shifts we are testing here vs the </w:t>
      </w:r>
      <w:proofErr w:type="spellStart"/>
      <w:r w:rsidRPr="0026306B">
        <w:rPr>
          <w:i/>
          <w:iCs/>
        </w:rPr>
        <w:t>fourway</w:t>
      </w:r>
      <w:proofErr w:type="spellEnd"/>
      <w:r w:rsidRPr="0026306B">
        <w:rPr>
          <w:i/>
          <w:iCs/>
        </w:rPr>
        <w:t>, other things</w:t>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xml:space="preserve">? Particularly differences between Gulf alleles… maybe offer up Gulf specific GWAS/mash here. Or GWAS on any individual that is tetraploid and looks like </w:t>
      </w:r>
      <w:proofErr w:type="gramStart"/>
      <w:r w:rsidRPr="0026306B">
        <w:rPr>
          <w:i/>
          <w:iCs/>
        </w:rPr>
        <w:t>it’s</w:t>
      </w:r>
      <w:proofErr w:type="gramEnd"/>
      <w:r w:rsidRPr="0026306B">
        <w:rPr>
          <w:i/>
          <w:iCs/>
        </w:rPr>
        <w:t xml:space="preserve"> photoperiod sensitive – including some admixed and Atlantic individuals. As an idea.</w:t>
      </w:r>
    </w:p>
    <w:p w14:paraId="399F85D1" w14:textId="65452040" w:rsidR="00AC59C4" w:rsidRPr="0026306B" w:rsidRDefault="00AC59C4" w:rsidP="00866E58">
      <w:pPr>
        <w:pStyle w:val="ListParagraph"/>
        <w:numPr>
          <w:ilvl w:val="0"/>
          <w:numId w:val="2"/>
        </w:numPr>
        <w:rPr>
          <w:i/>
          <w:iCs/>
        </w:rPr>
      </w:pPr>
      <w:r w:rsidRPr="0026306B">
        <w:rPr>
          <w:i/>
          <w:iCs/>
        </w:rPr>
        <w:t xml:space="preserve">Want to bring back discussion of environmental cues… may be able to lead </w:t>
      </w:r>
      <w:proofErr w:type="gramStart"/>
      <w:r w:rsidRPr="0026306B">
        <w:rPr>
          <w:i/>
          <w:iCs/>
        </w:rPr>
        <w:t>in to</w:t>
      </w:r>
      <w:proofErr w:type="gramEnd"/>
      <w:r w:rsidRPr="0026306B">
        <w:rPr>
          <w:i/>
          <w:iCs/>
        </w:rPr>
        <w:t xml:space="preserve"> this by talking about which subpopulations are segregating for these things.</w:t>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lastRenderedPageBreak/>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0"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36E4D233"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28BFB" w14:textId="77777777" w:rsidR="007B2F40" w:rsidRDefault="007B2F40" w:rsidP="007B55E9">
      <w:pPr>
        <w:spacing w:after="0" w:line="240" w:lineRule="auto"/>
      </w:pPr>
      <w:r>
        <w:separator/>
      </w:r>
    </w:p>
  </w:endnote>
  <w:endnote w:type="continuationSeparator" w:id="0">
    <w:p w14:paraId="435A9979" w14:textId="77777777" w:rsidR="007B2F40" w:rsidRDefault="007B2F40"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9495" w14:textId="77777777" w:rsidR="007B2F40" w:rsidRDefault="007B2F40" w:rsidP="007B55E9">
      <w:pPr>
        <w:spacing w:after="0" w:line="240" w:lineRule="auto"/>
      </w:pPr>
      <w:r>
        <w:separator/>
      </w:r>
    </w:p>
  </w:footnote>
  <w:footnote w:type="continuationSeparator" w:id="0">
    <w:p w14:paraId="4FA817F4" w14:textId="77777777" w:rsidR="007B2F40" w:rsidRDefault="007B2F40"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7279F"/>
    <w:rsid w:val="0008173C"/>
    <w:rsid w:val="00083CC4"/>
    <w:rsid w:val="00085338"/>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0F66DE"/>
    <w:rsid w:val="00106BBD"/>
    <w:rsid w:val="00112F2A"/>
    <w:rsid w:val="00113FD9"/>
    <w:rsid w:val="00120602"/>
    <w:rsid w:val="001218C4"/>
    <w:rsid w:val="00121B8E"/>
    <w:rsid w:val="00131685"/>
    <w:rsid w:val="00143ED7"/>
    <w:rsid w:val="0014430D"/>
    <w:rsid w:val="00144530"/>
    <w:rsid w:val="001475B5"/>
    <w:rsid w:val="00150878"/>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D0ABE"/>
    <w:rsid w:val="001D1108"/>
    <w:rsid w:val="001D5AD0"/>
    <w:rsid w:val="001E0A27"/>
    <w:rsid w:val="001E4573"/>
    <w:rsid w:val="001F188C"/>
    <w:rsid w:val="001F591D"/>
    <w:rsid w:val="001F7232"/>
    <w:rsid w:val="002004B3"/>
    <w:rsid w:val="00203580"/>
    <w:rsid w:val="00205939"/>
    <w:rsid w:val="002059D6"/>
    <w:rsid w:val="00205EC7"/>
    <w:rsid w:val="00207876"/>
    <w:rsid w:val="0021167A"/>
    <w:rsid w:val="002129B4"/>
    <w:rsid w:val="00221FC8"/>
    <w:rsid w:val="002229F9"/>
    <w:rsid w:val="0022308F"/>
    <w:rsid w:val="00227B6C"/>
    <w:rsid w:val="00233A42"/>
    <w:rsid w:val="00233D87"/>
    <w:rsid w:val="00236B2F"/>
    <w:rsid w:val="0024741A"/>
    <w:rsid w:val="00247A73"/>
    <w:rsid w:val="00250461"/>
    <w:rsid w:val="002531BE"/>
    <w:rsid w:val="00255B02"/>
    <w:rsid w:val="00261633"/>
    <w:rsid w:val="002621DA"/>
    <w:rsid w:val="0026306B"/>
    <w:rsid w:val="00263D55"/>
    <w:rsid w:val="00265861"/>
    <w:rsid w:val="00266128"/>
    <w:rsid w:val="00275909"/>
    <w:rsid w:val="00286B13"/>
    <w:rsid w:val="00287E01"/>
    <w:rsid w:val="00290289"/>
    <w:rsid w:val="002918DA"/>
    <w:rsid w:val="00296553"/>
    <w:rsid w:val="002A008E"/>
    <w:rsid w:val="002A0403"/>
    <w:rsid w:val="002A25F9"/>
    <w:rsid w:val="002A411A"/>
    <w:rsid w:val="002A616B"/>
    <w:rsid w:val="002A746D"/>
    <w:rsid w:val="002B031D"/>
    <w:rsid w:val="002B1044"/>
    <w:rsid w:val="002B35A4"/>
    <w:rsid w:val="002B494F"/>
    <w:rsid w:val="002C0566"/>
    <w:rsid w:val="002C2BA5"/>
    <w:rsid w:val="002C4F58"/>
    <w:rsid w:val="002D1D34"/>
    <w:rsid w:val="002D4FF6"/>
    <w:rsid w:val="002D5AB7"/>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84F67"/>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20750"/>
    <w:rsid w:val="00442F71"/>
    <w:rsid w:val="00445456"/>
    <w:rsid w:val="0044729E"/>
    <w:rsid w:val="00450BC4"/>
    <w:rsid w:val="00450D52"/>
    <w:rsid w:val="0046160E"/>
    <w:rsid w:val="004626A2"/>
    <w:rsid w:val="00471AD0"/>
    <w:rsid w:val="0047633C"/>
    <w:rsid w:val="0048046B"/>
    <w:rsid w:val="004830E7"/>
    <w:rsid w:val="00483BCF"/>
    <w:rsid w:val="00487648"/>
    <w:rsid w:val="004973CD"/>
    <w:rsid w:val="004A5825"/>
    <w:rsid w:val="004A60B9"/>
    <w:rsid w:val="004B4258"/>
    <w:rsid w:val="004C2FC7"/>
    <w:rsid w:val="004C5D9D"/>
    <w:rsid w:val="004C648E"/>
    <w:rsid w:val="004E7835"/>
    <w:rsid w:val="004F2E0D"/>
    <w:rsid w:val="004F492B"/>
    <w:rsid w:val="004F5292"/>
    <w:rsid w:val="004F7A78"/>
    <w:rsid w:val="005073D5"/>
    <w:rsid w:val="00510872"/>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119A"/>
    <w:rsid w:val="005B48F5"/>
    <w:rsid w:val="005B51E7"/>
    <w:rsid w:val="005C1AE9"/>
    <w:rsid w:val="005C5A80"/>
    <w:rsid w:val="005C7580"/>
    <w:rsid w:val="005D1C48"/>
    <w:rsid w:val="005D2E94"/>
    <w:rsid w:val="005D4CBB"/>
    <w:rsid w:val="005E25C9"/>
    <w:rsid w:val="005F584E"/>
    <w:rsid w:val="005F664E"/>
    <w:rsid w:val="00607891"/>
    <w:rsid w:val="00607E2B"/>
    <w:rsid w:val="00610170"/>
    <w:rsid w:val="0061553C"/>
    <w:rsid w:val="0062190D"/>
    <w:rsid w:val="00622ED6"/>
    <w:rsid w:val="006279C0"/>
    <w:rsid w:val="00654CFA"/>
    <w:rsid w:val="0065684F"/>
    <w:rsid w:val="006622CE"/>
    <w:rsid w:val="0067259B"/>
    <w:rsid w:val="006729EB"/>
    <w:rsid w:val="00673F5A"/>
    <w:rsid w:val="00674A9D"/>
    <w:rsid w:val="00674F1D"/>
    <w:rsid w:val="006779E3"/>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51D9B"/>
    <w:rsid w:val="0077351D"/>
    <w:rsid w:val="007749EF"/>
    <w:rsid w:val="00775237"/>
    <w:rsid w:val="00781076"/>
    <w:rsid w:val="0078762E"/>
    <w:rsid w:val="00795EC4"/>
    <w:rsid w:val="007A2678"/>
    <w:rsid w:val="007A4790"/>
    <w:rsid w:val="007A6ABF"/>
    <w:rsid w:val="007B2F40"/>
    <w:rsid w:val="007B4B3A"/>
    <w:rsid w:val="007B55E9"/>
    <w:rsid w:val="007C5880"/>
    <w:rsid w:val="007C5A21"/>
    <w:rsid w:val="007D18ED"/>
    <w:rsid w:val="007D54E0"/>
    <w:rsid w:val="007E4C5F"/>
    <w:rsid w:val="007E6CED"/>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E678F"/>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932F8"/>
    <w:rsid w:val="009944C8"/>
    <w:rsid w:val="00994DC4"/>
    <w:rsid w:val="00995A51"/>
    <w:rsid w:val="009A0C54"/>
    <w:rsid w:val="009A1764"/>
    <w:rsid w:val="009A198E"/>
    <w:rsid w:val="009A6D99"/>
    <w:rsid w:val="009B2954"/>
    <w:rsid w:val="009B6ED2"/>
    <w:rsid w:val="009B6EED"/>
    <w:rsid w:val="009B7720"/>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11543"/>
    <w:rsid w:val="00A1326C"/>
    <w:rsid w:val="00A20E08"/>
    <w:rsid w:val="00A2334A"/>
    <w:rsid w:val="00A238AD"/>
    <w:rsid w:val="00A27FB7"/>
    <w:rsid w:val="00A30C9D"/>
    <w:rsid w:val="00A40923"/>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3B0D"/>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153A4"/>
    <w:rsid w:val="00E22A87"/>
    <w:rsid w:val="00E26CA0"/>
    <w:rsid w:val="00E27759"/>
    <w:rsid w:val="00E35235"/>
    <w:rsid w:val="00E374AB"/>
    <w:rsid w:val="00E40396"/>
    <w:rsid w:val="00E44F28"/>
    <w:rsid w:val="00E4507C"/>
    <w:rsid w:val="00E466BF"/>
    <w:rsid w:val="00E477C2"/>
    <w:rsid w:val="00E63946"/>
    <w:rsid w:val="00E718A3"/>
    <w:rsid w:val="00E7433B"/>
    <w:rsid w:val="00E76EE1"/>
    <w:rsid w:val="00E81A33"/>
    <w:rsid w:val="00E82C32"/>
    <w:rsid w:val="00E92AC5"/>
    <w:rsid w:val="00E9448A"/>
    <w:rsid w:val="00E9683C"/>
    <w:rsid w:val="00EA260A"/>
    <w:rsid w:val="00EE2CFC"/>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atadryad.org/stash/dataset/doi:10.5061/dryad.ghx3ffbj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19</Pages>
  <Words>7583</Words>
  <Characters>43225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13</cp:revision>
  <dcterms:created xsi:type="dcterms:W3CDTF">2020-10-02T17:06:00Z</dcterms:created>
  <dcterms:modified xsi:type="dcterms:W3CDTF">2020-10-02T22:46:00Z</dcterms:modified>
</cp:coreProperties>
</file>