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Working Title: </w:t>
      </w:r>
      <w:r>
        <w:rPr/>
        <w:t>The genetic basis of two flowering time cues in switchgrass (</w:t>
      </w:r>
      <w:r>
        <w:rPr>
          <w:i/>
          <w:iCs/>
        </w:rPr>
        <w:t>Panicum virgatum</w:t>
      </w:r>
      <w:r>
        <w:rPr/>
        <w:t>)</w:t>
      </w:r>
    </w:p>
    <w:p>
      <w:pPr>
        <w:pStyle w:val="Normal"/>
        <w:rPr/>
      </w:pPr>
      <w:r>
        <w:rPr>
          <w:b/>
          <w:bCs/>
        </w:rPr>
        <w:t xml:space="preserve">Authors: </w:t>
      </w:r>
      <w:r>
        <w:rPr/>
        <w:t xml:space="preserve">Alice MacQueen*, Li Zhang*, Jason Bonette, …who else? People at HA who constructed the new fourway map (unless it’s already published in the wax QTL mapping paper), hosts of the common garden sites, Tom Juenger </w:t>
      </w:r>
    </w:p>
    <w:p>
      <w:pPr>
        <w:pStyle w:val="Normal"/>
        <w:rPr/>
      </w:pPr>
      <w:r>
        <w:rPr/>
      </w:r>
    </w:p>
    <w:p>
      <w:pPr>
        <w:pStyle w:val="Normal"/>
        <w:rPr>
          <w:i/>
          <w:i/>
          <w:iCs/>
        </w:rPr>
      </w:pPr>
      <w:r>
        <w:rPr>
          <w:b/>
          <w:bCs/>
        </w:rPr>
        <w:t xml:space="preserve">Intended Audience: </w:t>
      </w:r>
      <w:r>
        <w:rPr>
          <w:i/>
          <w:iCs/>
        </w:rPr>
        <w:t>biologists interested in GxE, plant biologists interested in flowering</w:t>
      </w:r>
    </w:p>
    <w:p>
      <w:pPr>
        <w:pStyle w:val="Normal"/>
        <w:rPr>
          <w:b/>
          <w:b/>
          <w:bCs/>
        </w:rPr>
      </w:pPr>
      <w:r>
        <w:rPr>
          <w:b/>
          <w:bCs/>
        </w:rPr>
        <w:t xml:space="preserve">Target Journal: </w:t>
      </w:r>
      <w:r>
        <w:rPr>
          <w:i/>
          <w:iCs/>
        </w:rPr>
        <w:t>New Phytologist, TEJ suggests: PNAS, Nature Communications</w:t>
      </w:r>
    </w:p>
    <w:p>
      <w:pPr>
        <w:pStyle w:val="Normal"/>
        <w:rPr/>
      </w:pPr>
      <w:r>
        <w:rPr>
          <w:b/>
          <w:bCs/>
        </w:rPr>
        <w:t>Possible Friendly Reviewers/Reviewers:</w:t>
      </w:r>
      <w:r>
        <w:rPr/>
        <w:t xml:space="preserve"> Annie Schmidt, Jiaming Yu, Ben Blackman, Dan Woods</w:t>
      </w:r>
    </w:p>
    <w:p>
      <w:pPr>
        <w:pStyle w:val="Normal"/>
        <w:rPr/>
      </w:pPr>
      <w:r>
        <w:rPr/>
        <w:t>NP editor: John Stinchcombe</w:t>
      </w:r>
    </w:p>
    <w:p>
      <w:pPr>
        <w:pStyle w:val="Normal"/>
        <w:rPr>
          <w:b/>
          <w:b/>
          <w:bCs/>
        </w:rPr>
      </w:pPr>
      <w:r>
        <w:rPr>
          <w:b/>
          <w:bCs/>
        </w:rPr>
      </w:r>
    </w:p>
    <w:p>
      <w:pPr>
        <w:pStyle w:val="Normal"/>
        <w:rPr>
          <w:b/>
          <w:b/>
          <w:bCs/>
        </w:rPr>
      </w:pPr>
      <w:commentRangeStart w:id="0"/>
      <w:r>
        <w:rPr>
          <w:b/>
          <w:bCs/>
        </w:rPr>
        <w:t>Abstract</w:t>
      </w:r>
      <w:commentRangeEnd w:id="0"/>
      <w:r>
        <w:commentReference w:id="0"/>
      </w:r>
      <w:r>
        <w:rPr>
          <w:b/>
          <w:bCs/>
        </w:rPr>
      </w:r>
    </w:p>
    <w:p>
      <w:pPr>
        <w:pStyle w:val="Normal"/>
        <w:ind w:firstLine="720"/>
        <w:rPr/>
      </w:pPr>
      <w:r>
        <w:rPr/>
        <w:t>Switchgrass (</w:t>
      </w:r>
      <w:r>
        <w:rPr>
          <w:i/>
          <w:iCs/>
        </w:rPr>
        <w:t>Panicum virgatum</w:t>
      </w:r>
      <w:r>
        <w:rPr/>
        <w:t xml:space="preserve">) is a perennial, outcrossing species native to North America which has evolved into multiple divergent populations that vary in ploidy, morphology, and phenological timing. Its potential uses have expanded in the past few decades to include biofuels. Flowering time is a key life-history trait for biofuel production, as plants cease biomass accumulation upon completion of floral development. Here, we present evidence that photoperiodic sensitivity in switchgrass flowering time varies between genetic subpopulations using a diversity panel grown at eight field sites in the central United States spanning 17 degrees of latitude. We then map the genetic basis of flowering time in this population and in an independent four-way cross created from individuals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which genes are in Xiaoyu’s flowering homolog </w:t>
      </w:r>
      <w:commentRangeStart w:id="1"/>
      <w:r>
        <w:rPr/>
        <w:t>list</w:t>
      </w:r>
      <w:r>
        <w:rPr/>
      </w:r>
      <w:commentRangeEnd w:id="1"/>
      <w:r>
        <w:commentReference w:id="1"/>
      </w:r>
      <w:r>
        <w:rPr/>
        <w:t>__.</w:t>
      </w:r>
    </w:p>
    <w:p>
      <w:pPr>
        <w:pStyle w:val="Normal"/>
        <w:ind w:firstLine="720"/>
        <w:jc w:val="both"/>
        <w:rPr/>
      </w:pPr>
      <w:r>
        <w:rPr/>
      </w:r>
    </w:p>
    <w:p>
      <w:pPr>
        <w:pStyle w:val="Normal"/>
        <w:rPr/>
      </w:pPr>
      <w:r>
        <w:rPr>
          <w:b/>
          <w:bCs/>
        </w:rPr>
        <w:t>Keywords</w:t>
      </w:r>
      <w:r>
        <w:rPr/>
        <w:t>: flowering time, GxE (genotype by environment interactions), switchgrass, Panicum virgatum, photoperiod</w:t>
      </w:r>
    </w:p>
    <w:p>
      <w:pPr>
        <w:pStyle w:val="Normal"/>
        <w:rPr>
          <w:b/>
          <w:b/>
          <w:bCs/>
        </w:rPr>
      </w:pPr>
      <w:r>
        <w:br w:type="column"/>
      </w:r>
      <w:r>
        <w:rPr>
          <w:b/>
          <w:bCs/>
        </w:rPr>
        <w:t>Introduction</w:t>
      </w:r>
    </w:p>
    <w:p>
      <w:pPr>
        <w:pStyle w:val="Normal"/>
        <w:ind w:firstLine="720"/>
        <w:rPr/>
      </w:pPr>
      <w:r>
        <w:rPr/>
        <w:t>The timing of floral development is a major component of plant fitness affected by multiple external environmental cues (e.g.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(Ummenhofer and Meehl, 2017). These events will alter both the timing of reproductive development and the reliability of the environmental signals that plants use to cue flowering. It is thus of increasing importance that we understand the environmental cues driving floral development and the genetics underlying flowering responses to understand the genetic potential for adaptation to novel, changing environments.</w:t>
      </w:r>
    </w:p>
    <w:p>
      <w:pPr>
        <w:pStyle w:val="Normal"/>
        <w:ind w:firstLine="720"/>
        <w:rPr/>
      </w:pPr>
      <w:r>
        <w:rPr/>
        <w:t xml:space="preserve">Flowering at the right time of the year requires careful monitoring of environmental cues and correct integration of these cues with the endogenous molecular network. Day length (or photoperiod) is one of the most predictable cues in nature and plants sense day length to gauge both diurnal and seasonal time and to initiate reproductive development at the right time of the year.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at the same time regardless of day length. </w:t>
      </w:r>
    </w:p>
    <w:p>
      <w:pPr>
        <w:pStyle w:val="Normal"/>
        <w:ind w:firstLine="720"/>
        <w:rPr/>
      </w:pPr>
      <w:r>
        <w:rPr/>
        <w:t>Extensive work on the molecular network underlying flowering has been conducted in the short day flowering model plants rice (</w:t>
      </w:r>
      <w:r>
        <w:rPr>
          <w:i/>
          <w:iCs/>
        </w:rPr>
        <w:t>Oryza sativa</w:t>
      </w:r>
      <w:r>
        <w:rPr/>
        <w:t>) and long day flowering model plants </w:t>
      </w:r>
      <w:r>
        <w:rPr>
          <w:i/>
          <w:iCs/>
        </w:rPr>
        <w:t>Arabidopsis</w:t>
      </w:r>
      <w:r>
        <w:rPr/>
        <w:t> </w:t>
      </w:r>
      <w:r>
        <w:rPr>
          <w:i/>
          <w:iCs/>
        </w:rPr>
        <w:t>thaliana</w:t>
      </w:r>
      <w:r>
        <w:rPr/>
        <w:t xml:space="preserve"> (Wei et al., 2020; Cho et al., 2017; Shrestha et al., 2014; Brambilla and Fornara, 2013; Tsuji et al., 2013; Andres and Coupland, 2012; Tsuji et al., 2011; Wilczek et al., 2010). The genes that detect photoperiod signals and integrate this response into flowering pathways are largely conserved across species and have been well described (Amasino, 2010 ; Andres and Coupland, 2012; Kobayashi and Weigel, 2007). Photoperiod changes trigger expression of florigenic proteins – homologs of </w:t>
      </w:r>
      <w:r>
        <w:rPr>
          <w:i/>
          <w:iCs/>
        </w:rPr>
        <w:t>FLOWERING LOCUS T</w:t>
      </w:r>
      <w:r>
        <w:rPr/>
        <w:t xml:space="preserve"> (</w:t>
      </w:r>
      <w:r>
        <w:rPr>
          <w:i/>
          <w:iCs/>
        </w:rPr>
        <w:t>FT</w:t>
      </w:r>
      <w:r>
        <w:rPr/>
        <w:t xml:space="preserve">) in </w:t>
      </w:r>
      <w:r>
        <w:rPr>
          <w:i/>
          <w:iCs/>
        </w:rPr>
        <w:t>Arabidopsis</w:t>
      </w:r>
      <w:r>
        <w:rPr/>
        <w:t>, and</w:t>
      </w:r>
      <w:r>
        <w:rPr>
          <w:i/>
          <w:iCs/>
        </w:rPr>
        <w:t xml:space="preserve"> Heading date 3a</w:t>
      </w:r>
      <w:r>
        <w:rPr/>
        <w:t xml:space="preserve"> (</w:t>
      </w:r>
      <w:r>
        <w:rPr>
          <w:i/>
          <w:iCs/>
        </w:rPr>
        <w:t>Hd3a</w:t>
      </w:r>
      <w:r>
        <w:rPr/>
        <w:t>) in rice - in leaves. These proteins move to the shoot apical meristem where they interact with additional genes to induce reproductive development. Though many of the same genes are involved in both long day and short day responses (Hayama et al., 2003), short day plants also possess unique genes and molecular pathways to regulate flowering (Wei et al., 2020; Brambilla and Fornara, 2013). Species with wide natural distributions can also segregate for multiple distinct photoperiod-related flowering responses: distinct populations of sunflower (</w:t>
      </w:r>
      <w:r>
        <w:rPr>
          <w:i/>
          <w:iCs/>
        </w:rPr>
        <w:t>Helianthus annuus</w:t>
      </w:r>
      <w:r>
        <w:rPr/>
        <w:t xml:space="preserve">) exhibit day-neutral, facultative short day, and facultative long-day responses, which vary with their environment (Blackman, </w:t>
      </w:r>
      <w:commentRangeStart w:id="2"/>
      <w:r>
        <w:rPr/>
        <w:t>2013</w:t>
      </w:r>
      <w:r>
        <w:rPr/>
      </w:r>
      <w:commentRangeEnd w:id="2"/>
      <w:r>
        <w:commentReference w:id="2"/>
      </w:r>
      <w:r>
        <w:rPr/>
        <w:t>).</w:t>
      </w:r>
    </w:p>
    <w:p>
      <w:pPr>
        <w:pStyle w:val="Normal"/>
        <w:ind w:firstLine="720"/>
        <w:rPr>
          <w:i/>
          <w:i/>
          <w:iCs/>
        </w:rPr>
      </w:pPr>
      <w:bookmarkStart w:id="0" w:name="_Hlk55216958"/>
      <w:r>
        <w:rPr/>
        <w:t xml:space="preserve">Distinct genetic responses that are detectable in different environments are known as genotype by environment interactions, or GxE. </w:t>
      </w:r>
      <w:bookmarkEnd w:id="0"/>
      <w:r>
        <w:rPr/>
        <w:t xml:space="preserve">The methodology commonly employed to study natural variation in GxE include genetic studies using common gardens, reciprocal transplant experiments between contrasting environments, or environmental manipulations. These methods have been used in wild species to uncover widely varying genetic responsiveness to photoperiod-cued flowering (Brachi et al 2010; Blackman 2013; Dittmar et al., 2014; Henry et al., 2014; Agren et al 2016). </w:t>
      </w:r>
      <w:commentRangeStart w:id="3"/>
      <w:r>
        <w:rPr/>
        <w:t>In</w:t>
      </w:r>
      <w:r>
        <w:rPr/>
      </w:r>
      <w:commentRangeEnd w:id="3"/>
      <w:r>
        <w:commentReference w:id="3"/>
      </w:r>
      <w:r>
        <w:rPr/>
        <w:t xml:space="preserve"> crop species, altering the timing of flowering has been a major crop improvement strategy to adapt crops for local or future environments (Jung &amp; Müller, 2009). Changing flowering responsiveness to photoperiod cues has allowed geographic range expansion and increased yields in a number of cereal species (Turner et al., 2005; Faure et al., 2012; Hung et al., 2012; Zakhrabekova et al., 2012; Yang et al., 2013) and other crops (Pin et al., 2012; Weller et al., 2012). However, the majority of studies of flowering GxE have used inbreeding, short-lived species. It is not clear whether insights from these species can be extrapolated to species with different life </w:t>
      </w:r>
      <w:commentRangeStart w:id="4"/>
      <w:r>
        <w:rPr/>
        <w:t>histories</w:t>
      </w:r>
      <w:r>
        <w:rPr/>
      </w:r>
      <w:commentRangeEnd w:id="4"/>
      <w:r>
        <w:commentReference w:id="4"/>
      </w:r>
      <w:r>
        <w:rPr/>
        <w:t>. Plant life histories vary along two main axes: a fast-slow continuum and a reproductive strategy continuum (Salguero-Gomez et al., 2016). The positions of species along these axes are likely to affect their evolutionary dynamics, and thus far, GxE in flowering has been studied only in fast growing, semelparous species and not in outbred, perennial systems which may face a broader swath of environments over their lifeti</w:t>
      </w:r>
      <w:bookmarkStart w:id="1" w:name="_Hlk55223384"/>
      <w:bookmarkEnd w:id="1"/>
      <w:r>
        <w:rPr/>
        <w:t>mes.</w:t>
      </w:r>
      <w:r>
        <w:rPr>
          <w:i/>
          <w:iCs/>
        </w:rPr>
        <w:t xml:space="preserve"> </w:t>
      </w:r>
    </w:p>
    <w:p>
      <w:pPr>
        <w:pStyle w:val="Normal"/>
        <w:spacing w:before="0" w:after="120"/>
        <w:ind w:firstLine="720"/>
        <w:rPr/>
      </w:pPr>
      <w:r>
        <w:rPr/>
        <w:t>Switchgrass (</w:t>
      </w:r>
      <w:r>
        <w:rPr>
          <w:i/>
          <w:iCs/>
        </w:rPr>
        <w:t>Panicum virgatum</w:t>
      </w:r>
      <w:r>
        <w:rPr/>
        <w:t xml:space="preserve">) is a warm-season perennial with wide environmental adaptation across the eastern half of North America. </w:t>
      </w:r>
      <w:r>
        <w:rPr>
          <w:color w:val="222222"/>
          <w:highlight w:val="white"/>
        </w:rPr>
        <w:t>The US Department of Energy named switchgrass a model herbaceous biofuel feedstock in 1992</w:t>
      </w:r>
      <w:r>
        <w:fldChar w:fldCharType="begin"/>
      </w:r>
      <w:r>
        <w:rPr>
          <w:highlight w:val="white"/>
          <w:color w:val="222222"/>
        </w:rPr>
        <w:instrText>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Pr>
          <w:color w:val="222222"/>
          <w:highlight w:val="white"/>
        </w:rPr>
      </w:r>
    </w:p>
    <w:p>
      <w:pPr>
        <w:pStyle w:val="Normal"/>
        <w:ind w:firstLine="720"/>
        <w:rPr/>
      </w:pPr>
      <w:r>
        <w:rPr/>
        <w:fldChar w:fldCharType="separate"/>
      </w:r>
      <w:r>
        <w:rPr/>
      </w:r>
      <w:r>
        <w:rPr>
          <w:rFonts w:eastAsia="Arial"/>
          <w:vertAlign w:val="superscript"/>
        </w:rPr>
        <w:t>14</w:t>
      </w:r>
      <w:r>
        <w:rPr/>
      </w:r>
      <w:r>
        <w:rPr/>
        <w:fldChar w:fldCharType="end"/>
      </w:r>
      <w:r>
        <w:rPr>
          <w:color w:val="222222"/>
          <w:highlight w:val="white"/>
        </w:rPr>
        <w:t>, and since then, cultivars have been bred that significantly outproduce ethanol relative to maize and other cellulosic feedstocks</w:t>
      </w:r>
      <w:r>
        <w:fldChar w:fldCharType="begin"/>
      </w:r>
      <w:r>
        <w:rPr>
          <w:highlight w:val="white"/>
          <w:color w:val="222222"/>
        </w:rPr>
        <w:instrText>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Pr>
          <w:color w:val="222222"/>
          <w:highlight w:val="white"/>
        </w:rPr>
      </w:r>
      <w:r>
        <w:rPr>
          <w:highlight w:val="white"/>
          <w:color w:val="222222"/>
        </w:rPr>
        <w:fldChar w:fldCharType="separate"/>
      </w:r>
      <w:r>
        <w:rPr>
          <w:color w:val="222222"/>
          <w:highlight w:val="white"/>
        </w:rPr>
      </w:r>
      <w:r>
        <w:rPr>
          <w:rFonts w:eastAsia="Arial"/>
          <w:vertAlign w:val="superscript"/>
        </w:rPr>
        <w:t>15</w:t>
      </w:r>
      <w:r>
        <w:rPr>
          <w:color w:val="222222"/>
          <w:highlight w:val="white"/>
        </w:rPr>
      </w:r>
      <w:r>
        <w:rPr>
          <w:highlight w:val="white"/>
          <w:color w:val="222222"/>
        </w:rPr>
        <w:fldChar w:fldCharType="end"/>
      </w:r>
      <w:r>
        <w:rPr>
          <w:color w:val="222222"/>
          <w:highlight w:val="white"/>
        </w:rPr>
        <w:t>.</w:t>
      </w:r>
      <w:r>
        <w:rPr>
          <w:color w:val="222222"/>
        </w:rPr>
        <w:t xml:space="preserve"> </w:t>
      </w:r>
      <w:r>
        <w:rP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Switchgrass has substantial untapped genetic and morphological diversity, with tetraploid and octoploid individuals (cite), phenotypically distinct ‘upland’ and ‘lowland’ ecotypes, and three geographically distinct, deeply diverged genetic subpopulations within tetraploid individuals (Lovell et al 202X). Upland individuals are smaller in stature than lowland individuals, and have divergent leaf and whole plant morphologies (Casler et al 2007; Lowry et al 2014; Casler et al 2004; Porter 1966, McMillan 1964; McMillan 1959). Breeding for plants with earlier green up and later flowering dates may allow growers in the northern United States to take advantage of longer growing seasons, as these plants will accumulate more biomass before flowering, contributing to higher biomass yields. Genetic differences in flowering date and photoperiod response across these genetic subpopulations will be an early point of exploitation in biomass crop </w:t>
      </w:r>
      <w:commentRangeStart w:id="5"/>
      <w:r>
        <w:rPr/>
        <w:t>breeding</w:t>
      </w:r>
      <w:r>
        <w:rPr/>
      </w:r>
      <w:commentRangeEnd w:id="5"/>
      <w:r>
        <w:commentReference w:id="5"/>
      </w:r>
      <w:r>
        <w:rPr/>
        <w:t>.</w:t>
      </w:r>
    </w:p>
    <w:p>
      <w:pPr>
        <w:pStyle w:val="Normal"/>
        <w:ind w:firstLine="720"/>
        <w:rPr/>
      </w:pPr>
      <w:r>
        <w:rP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an outbred F2 cross between individuals from the most distinctive 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environmental cues, genes, and alleles affecting flowering across multiple distinct switchgrass populations.</w:t>
      </w:r>
    </w:p>
    <w:p>
      <w:pPr>
        <w:pStyle w:val="Normal"/>
        <w:rPr/>
      </w:pPr>
      <w:r>
        <w:rPr/>
        <w:t xml:space="preserve"> </w:t>
      </w:r>
    </w:p>
    <w:p>
      <w:pPr>
        <w:pStyle w:val="Normal"/>
        <w:rPr>
          <w:b/>
          <w:b/>
          <w:bCs/>
        </w:rPr>
      </w:pPr>
      <w:r>
        <w:rPr/>
        <w:commentReference w:id="6"/>
      </w:r>
    </w:p>
    <w:p>
      <w:pPr>
        <w:pStyle w:val="Normal"/>
        <w:rPr/>
      </w:pPr>
      <w:r>
        <w:br w:type="column"/>
      </w:r>
      <w:r>
        <w:rPr>
          <w:b/>
          <w:bCs/>
        </w:rPr>
        <w:t>Results</w:t>
      </w:r>
    </w:p>
    <w:p>
      <w:pPr>
        <w:pStyle w:val="Normal"/>
        <w:rPr>
          <w:i/>
          <w:i/>
          <w:iCs/>
        </w:rPr>
      </w:pPr>
      <w:r>
        <w:rPr>
          <w:i/>
          <w:iCs/>
        </w:rPr>
        <w:t>Diversity panel captures genetic and genotype by environment interactions across the common gardens</w:t>
      </w:r>
    </w:p>
    <w:p>
      <w:pPr>
        <w:pStyle w:val="Normal"/>
        <w:ind w:firstLine="720"/>
        <w:rPr/>
      </w:pPr>
      <w:r>
        <w:rPr/>
        <w:t xml:space="preserve">In 2019, we grew and phenotyped a switchgrass diversity panel at eight common garden sites (Figure 1A). The eight common gardens cover the majority of the latitudinal and climatic range of switchgrass and therefore capture the most comprehensive picture to date of genotype-specific environmental plasticity, or genotype-by-environment interactions, in this species. The diversity panel contained 134 sequenced, clonally propagated individuals from the Midwestern genetic subpopulation and 229 individuals from the Gulf subpopulation (Figure 1A; Lovell et al 202X). The four northernmost common gardens (hereafter ‘North’ gardens) were located within the natural range of the Midwestern genetic subpopulation, while the three Texas common gardens (hereafter ‘Texas’ gardens) were located within the natural range of the Gulf subpopulation, and the Oklahoma common garden was located near the natural range limits of both the Gulf and the Midwestern subpopulations. We scored plant </w:t>
      </w:r>
      <w:commentRangeStart w:id="7"/>
      <w:r>
        <w:rPr/>
        <w:t>greenup</w:t>
      </w:r>
      <w:r>
        <w:rPr/>
      </w:r>
      <w:commentRangeEnd w:id="7"/>
      <w:r>
        <w:commentReference w:id="7"/>
      </w:r>
      <w:r>
        <w:rPr/>
        <w:t xml:space="preserve"> and flowering at these common gardens every two days. The Gulf and Midwest genetic subpopulations had the most distinct phenological responses across our common gardens and had distinct patterns of phenotypic correlations between common garden sites (Supplemental Figure X, Figure 1A, 1B). At the Texas gardens, Gulf genotypes typically greened up before and flowered after Midwestern genotypes, while at the North gardens, Gulf genotypes greened up and flowered after Midwestern genotypes (Figure 1A). At the Oklahoma common garden, Gulf and Midwestern individuals greened up over the same time period. These patterns led to strong negative phenotypic correlations for greenup between the North and Texas common gardens and contributed to positive phenotypic correlations for flowering time which increased at more northern gardens (Figure 1B).</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i/>
          <w:i/>
          <w:iCs/>
          <w:sz w:val="18"/>
          <w:szCs w:val="18"/>
        </w:rPr>
      </w:pPr>
      <w:r>
        <w:br w:type="column"/>
      </w:r>
      <w:commentRangeStart w:id="8"/>
      <w:r>
        <w:rPr>
          <w:i/>
          <w:iCs/>
          <w:sz w:val="18"/>
          <w:szCs w:val="18"/>
        </w:rPr>
        <w:t>Figure</w:t>
      </w:r>
      <w:r>
        <w:rPr>
          <w:i/>
          <w:iCs/>
          <w:sz w:val="18"/>
          <w:szCs w:val="18"/>
        </w:rPr>
      </w:r>
      <w:commentRangeEnd w:id="8"/>
      <w:r>
        <w:commentReference w:id="8"/>
      </w:r>
      <w:r>
        <w:rPr>
          <w:i/>
          <w:iCs/>
          <w:sz w:val="18"/>
          <w:szCs w:val="18"/>
        </w:rPr>
        <w:t xml:space="preserve"> 1. A) 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B) Phenotypic correlations between clonal replicates planted at eight common gardens, within and between two genetic subpopulations.  C) Narrow sense heritability of greenup and flowering within single common gardens (purple) and across all eight common gardens (green), within and between two genetic subpopulations.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pPr>
      <w:r>
        <w:rPr/>
        <w:drawing>
          <wp:inline distT="0" distB="0" distL="0" distR="0">
            <wp:extent cx="5943600" cy="6488430"/>
            <wp:effectExtent l="0" t="0" r="0" b="0"/>
            <wp:docPr id="1"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cell phone&#10;&#10;Description automatically generated"/>
                    <pic:cNvPicPr>
                      <a:picLocks noChangeAspect="1" noChangeArrowheads="1"/>
                    </pic:cNvPicPr>
                  </pic:nvPicPr>
                  <pic:blipFill>
                    <a:blip r:embed="rId2"/>
                    <a:srcRect l="0" t="0" r="0" b="5289"/>
                    <a:stretch>
                      <a:fillRect/>
                    </a:stretch>
                  </pic:blipFill>
                  <pic:spPr bwMode="auto">
                    <a:xfrm>
                      <a:off x="0" y="0"/>
                      <a:ext cx="5943600" cy="6488430"/>
                    </a:xfrm>
                    <a:prstGeom prst="rect">
                      <a:avLst/>
                    </a:prstGeom>
                  </pic:spPr>
                </pic:pic>
              </a:graphicData>
            </a:graphic>
          </wp:inline>
        </w:drawing>
      </w:r>
    </w:p>
    <w:p>
      <w:pPr>
        <w:pStyle w:val="Normal"/>
        <w:ind w:firstLine="720"/>
        <w:rPr/>
      </w:pPr>
      <w:r>
        <w:br w:type="column"/>
      </w:r>
      <w:r>
        <w:rPr/>
        <w:t>We determined narrow-sense heritabilities (h</w:t>
      </w:r>
      <w:r>
        <w:rPr>
          <w:vertAlign w:val="superscript"/>
        </w:rPr>
        <w:t>2</w:t>
      </w:r>
      <w:r>
        <w:rPr/>
        <w:t>) using a genomic relationship matrix</w:t>
      </w:r>
      <w:r>
        <w:rPr>
          <w:vertAlign w:val="superscript"/>
        </w:rPr>
        <w:t xml:space="preserve"> </w:t>
      </w:r>
      <w:r>
        <w:rPr/>
        <w:t>for greenup and flowering dates at single gardens and across all eight common gardens (Figure 1C). To allow for the possibility that different subpopulations had different strengths of connection between these phenotypes and the genotypes (Korte and Farlow 2013), we determined h</w:t>
      </w:r>
      <w:r>
        <w:rPr>
          <w:vertAlign w:val="superscript"/>
        </w:rPr>
        <w:t>2</w:t>
      </w:r>
      <w:r>
        <w:rPr/>
        <w:t xml:space="preserve"> both within and across the Midwestern and Gulf subpopulations. At individual gardens, h</w:t>
      </w:r>
      <w:r>
        <w:rPr>
          <w:vertAlign w:val="superscript"/>
        </w:rPr>
        <w:t>2</w:t>
      </w:r>
      <w:r>
        <w:rPr/>
        <w:t xml:space="preserve"> were typically quite high: 59% on average for greenup date, and 87% for flowering date. However, h</w:t>
      </w:r>
      <w:r>
        <w:rPr>
          <w:vertAlign w:val="superscript"/>
        </w:rPr>
        <w:t>2</w:t>
      </w:r>
      <w:r>
        <w:rPr/>
        <w:t xml:space="preserve"> were variable across common gardens, particularly for greenup at our OK and NE gardens. Greenup dates at these sites were uncorrelated or negatively correlated with greenup dates for clonal replicates at other sites (Figure 1B). These negative and small correlations undoubtedly contributed to the low h</w:t>
      </w:r>
      <w:r>
        <w:rPr>
          <w:vertAlign w:val="superscript"/>
        </w:rPr>
        <w:t>2</w:t>
      </w:r>
      <w:r>
        <w:rPr/>
        <w:t xml:space="preserve"> values for greenup and flowering date across all eight sites: h</w:t>
      </w:r>
      <w:r>
        <w:rPr>
          <w:vertAlign w:val="superscript"/>
        </w:rPr>
        <w:t>2</w:t>
      </w:r>
      <w:r>
        <w:rPr/>
        <w:t xml:space="preserve"> was 0.8% for greenup and 23.2% for flowering date in models including all sites. </w:t>
      </w:r>
      <w:bookmarkStart w:id="2" w:name="_Hlk55390589"/>
      <w:r>
        <w:rPr/>
        <w:t>These data indicated the presence of numerous rank-changing genotype by environment interactions for these phenotypes across these common gardens.</w:t>
      </w:r>
      <w:bookmarkEnd w:id="2"/>
    </w:p>
    <w:p>
      <w:pPr>
        <w:pStyle w:val="Normal"/>
        <w:ind w:firstLine="720"/>
        <w:rPr/>
      </w:pPr>
      <w:r>
        <w:rPr/>
        <w:t>Though we scored greenup and flowering as functions of Julian date, flowering is more likely cued by one or more environmental factors like temperature, rainfall, or daylength signals (Brachi et al., 2010, Casler 2012, Hartman et al 2012, Hartman &amp; Nippert 2012). To evaluate these cues as genetic triggers of flowering, we defined greenup and flowering as functions of nine environmental cues, then determined the variance attributed to genetic effects (G), genotype by environment interactions (GxE), environmental effects (E), and error for these phenology-related traits across our eight common garden sites using linear mixed models. For example, to define flowering date as a function of day length, we replaced the phenotype of flowering Julian date with the daylength at that garden on that Julian date. We reasoned that if flowering as a function of a weather cue had higher heritability than flowering as a function of Julian date, then that environmental cue was both a better predictor of flowering and was more likely to have detectable genetic variation segregating within the tested population. To allow for the possibility that different subpopulations would have different cues within or outside of their native ranges, we also determined the variance explained by G, GxE, E, and error for each subpopulation at the North and Texas set of gardens.</w:t>
      </w:r>
    </w:p>
    <w:p>
      <w:pPr>
        <w:pStyle w:val="Normal"/>
        <w:ind w:firstLine="720"/>
        <w:rPr/>
      </w:pPr>
      <w:r>
        <w:rPr/>
        <w:t xml:space="preserve">Across all eight common gardens, greenup date had low G and low GxE (&lt;10%), and the G and GxE values were not substantially improved by defining greenup as functions of weather-based cues (Supplementary Figure/Table). 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G and GxE estimates for greenup date were significantly higher when the sites were restricted to either the Texas or North set of gardens (Supplemental Figure). G and GxE estimates for greenup were higher for the Gulf subpopulation than for the Midwest, and higher outside of each subpopulation’s native range than within its native range (Supplementary Figure). </w:t>
      </w:r>
    </w:p>
    <w:p>
      <w:pPr>
        <w:pStyle w:val="Normal"/>
        <w:ind w:firstLine="720"/>
        <w:rPr/>
      </w:pPr>
      <w:r>
        <w:rPr/>
        <w:t>In contrast to greenup date, flowering date had moderate G and GxE, and these values were significantly increased by defining flowering as functions of weather based environmental cues (Figure 1D). In the Gulf subpopulation, a daylength cue explained more G and GxE than flowering date (G = 36.8% +/- 6.4; GxE = 34.4% +/- 6.0). In the Midwest subpopulation, a cumulative GDD cue explained more G than flowering date  (5.8% +/- 2.8% vs 23.8% +/- 6.1%), while three additional cues, daylength, rainfall between greenup and flowering, and rainfall in the five days before flowering, explained more G and GxE than flowering date (Figure 1D). G and GxE estimates were also higher when the common gardens were restricted to either the Texas or the North gardens. For subpopulations growing outside of their native ranges, substantial G and GxE was seen for rainfall cues, particularly for rainfall on the day of flowering. Taken together, these data indicate substantial genetic variation for a GDD-based flowering cue in the Midwest subpopulation, and similar genetic variation for a daylength cue in the Gulf subpopulation. They also suggest the presence of GxE for rainfall, GDD, and photoperiod cues for flowering, with variation for these cues more visible outside of each subpopulations’ native range.</w:t>
      </w:r>
    </w:p>
    <w:p>
      <w:pPr>
        <w:pStyle w:val="Normal"/>
        <w:rPr>
          <w:i/>
          <w:i/>
          <w:iCs/>
        </w:rPr>
      </w:pPr>
      <w:r>
        <w:rPr>
          <w:i/>
          <w:iCs/>
        </w:rPr>
      </w:r>
    </w:p>
    <w:p>
      <w:pPr>
        <w:pStyle w:val="Normal"/>
        <w:rPr>
          <w:i/>
          <w:i/>
          <w:iCs/>
        </w:rPr>
      </w:pPr>
      <w:r>
        <w:rPr>
          <w:i/>
          <w:iCs/>
        </w:rPr>
        <w:t>Genotype-by-environment effects on greenup and flowering as functions of environmental cues</w:t>
      </w:r>
    </w:p>
    <w:p>
      <w:pPr>
        <w:pStyle w:val="Normal"/>
        <w:rPr/>
      </w:pPr>
      <w:r>
        <w:rPr/>
        <w:tab/>
      </w:r>
      <w:r>
        <w:rPr>
          <w:rFonts w:eastAsia="Calibri" w:cs="" w:cstheme="minorBidi" w:eastAsiaTheme="minorHAnsi"/>
          <w:color w:val="auto"/>
          <w:kern w:val="0"/>
          <w:sz w:val="22"/>
          <w:szCs w:val="22"/>
          <w:lang w:val="en-US" w:eastAsia="en-US" w:bidi="ar-SA"/>
        </w:rPr>
        <w:t xml:space="preserve">To further explore how GxE in greenup and flowering  in these genetic subpopulations covaried with distinct environmental cues, we conducted </w:t>
      </w:r>
      <w:r>
        <w:rPr/>
        <w:t xml:space="preserve">multivariate adaptive shrinkage (mash) analyses.  </w:t>
      </w:r>
      <w:r>
        <w:rPr>
          <w:rFonts w:eastAsia="Calibri" w:cs="" w:cstheme="minorBidi" w:eastAsiaTheme="minorHAnsi"/>
          <w:color w:val="auto"/>
          <w:kern w:val="0"/>
          <w:sz w:val="22"/>
          <w:szCs w:val="22"/>
          <w:lang w:val="en-US" w:eastAsia="en-US" w:bidi="ar-SA"/>
        </w:rPr>
        <w:t>To do this, we</w:t>
      </w:r>
      <w:r>
        <w:rPr/>
        <w:t xml:space="preserve"> </w:t>
      </w:r>
      <w:r>
        <w:rPr>
          <w:rFonts w:eastAsia="Calibri" w:cs="" w:cstheme="minorBidi" w:eastAsiaTheme="minorHAnsi"/>
          <w:color w:val="auto"/>
          <w:kern w:val="0"/>
          <w:sz w:val="22"/>
          <w:szCs w:val="22"/>
          <w:lang w:val="en-US" w:eastAsia="en-US" w:bidi="ar-SA"/>
        </w:rPr>
        <w:t>generated</w:t>
      </w:r>
      <w:r>
        <w:rPr/>
        <w:t xml:space="preserve"> ‘hypothesis-based’ covariance matrices </w:t>
      </w:r>
      <w:r>
        <w:rPr>
          <w:rFonts w:eastAsia="Calibri" w:cs="" w:cstheme="minorBidi" w:eastAsiaTheme="minorHAnsi"/>
          <w:color w:val="auto"/>
          <w:kern w:val="0"/>
          <w:sz w:val="22"/>
          <w:szCs w:val="22"/>
          <w:lang w:val="en-US" w:eastAsia="en-US" w:bidi="ar-SA"/>
        </w:rPr>
        <w:t>derived from correlations in</w:t>
      </w:r>
      <w:r>
        <w:rPr/>
        <w:t xml:space="preserve"> environmental cues in the greenup or flowering date windows for the Midwest, Gulf, </w:t>
      </w:r>
      <w:r>
        <w:rPr>
          <w:rFonts w:eastAsia="Calibri" w:cs="" w:cstheme="minorBidi" w:eastAsiaTheme="minorHAnsi"/>
          <w:color w:val="auto"/>
          <w:kern w:val="0"/>
          <w:sz w:val="22"/>
          <w:szCs w:val="22"/>
          <w:lang w:val="en-US" w:eastAsia="en-US" w:bidi="ar-SA"/>
        </w:rPr>
        <w:t>or</w:t>
      </w:r>
      <w:r>
        <w:rPr/>
        <w:t xml:space="preserve"> both subpopulations (Table X). To create these covariance matrices, we used the </w:t>
      </w:r>
      <w:r>
        <w:rPr>
          <w:rFonts w:eastAsia="Calibri" w:cs="" w:cstheme="minorBidi" w:eastAsiaTheme="minorHAnsi"/>
          <w:color w:val="auto"/>
          <w:kern w:val="0"/>
          <w:sz w:val="22"/>
          <w:szCs w:val="22"/>
          <w:lang w:val="en-US" w:eastAsia="en-US" w:bidi="ar-SA"/>
        </w:rPr>
        <w:t>same set of phenotypes defined as functions of environmental cues as previously, and determined the correlation of genotypes for these phenotypes across our common gardens. These covariance matrices differed substantially by the function of environmental cue chosen and by the subgroup of genotypes for which they were calculated (Figure 2A,D).</w:t>
      </w:r>
    </w:p>
    <w:p>
      <w:pPr>
        <w:pStyle w:val="Normal"/>
        <w:rPr/>
      </w:pPr>
      <w:r>
        <w:rPr>
          <w:rFonts w:eastAsia="Calibri" w:cs="" w:cstheme="minorBidi" w:eastAsiaTheme="minorHAnsi"/>
          <w:color w:val="auto"/>
          <w:kern w:val="0"/>
          <w:sz w:val="22"/>
          <w:szCs w:val="22"/>
          <w:lang w:val="en-US" w:eastAsia="en-US" w:bidi="ar-SA"/>
        </w:rPr>
        <w:tab/>
      </w:r>
      <w:r>
        <w:rPr/>
        <w:t xml:space="preserve">Just as different genetic subpopulations can have different genetic covariances between phenotypes at different gardens (Figure 1B), SNPs can have different </w:t>
      </w:r>
      <w:r>
        <w:rPr>
          <w:rFonts w:eastAsia="Calibri" w:cs="" w:cstheme="minorBidi" w:eastAsiaTheme="minorHAnsi"/>
          <w:color w:val="auto"/>
          <w:kern w:val="0"/>
          <w:sz w:val="22"/>
          <w:szCs w:val="22"/>
          <w:lang w:val="en-US" w:eastAsia="en-US" w:bidi="ar-SA"/>
        </w:rPr>
        <w:t>effect patterns</w:t>
      </w:r>
      <w:r>
        <w:rPr/>
        <w:t xml:space="preserve">, or covariances, on phenotypes at different gardens. Mash allows the user to include ‘hypothesis-based’ covariance matrices, and also generates ‘data-driven’ covariance matrices </w:t>
      </w:r>
      <w:r>
        <w:rPr>
          <w:rFonts w:eastAsia="Calibri" w:cs="" w:cstheme="minorBidi" w:eastAsiaTheme="minorHAnsi"/>
          <w:color w:val="auto"/>
          <w:kern w:val="0"/>
          <w:sz w:val="22"/>
          <w:szCs w:val="22"/>
          <w:lang w:val="en-US" w:eastAsia="en-US" w:bidi="ar-SA"/>
        </w:rPr>
        <w:t>from patterns of effects in the data. Mash</w:t>
      </w:r>
      <w:r>
        <w:rPr/>
        <w:t xml:space="preserve"> first assigns mixture proportions for each SNP onto each provided covariance matrix using maximum likelihood. Second, mash </w:t>
      </w:r>
      <w:r>
        <w:rPr>
          <w:rFonts w:eastAsia="Calibri" w:cs="" w:cstheme="minorBidi" w:eastAsiaTheme="minorHAnsi"/>
          <w:color w:val="auto"/>
          <w:kern w:val="0"/>
          <w:sz w:val="22"/>
          <w:szCs w:val="22"/>
          <w:lang w:val="en-US" w:eastAsia="en-US" w:bidi="ar-SA"/>
        </w:rPr>
        <w:t>uses Bayes’ theorem to shrink effects</w:t>
      </w:r>
      <w:r>
        <w:rPr/>
        <w:t xml:space="preserve"> for each SNP towards </w:t>
      </w:r>
      <w:r>
        <w:rPr>
          <w:rFonts w:eastAsia="Calibri" w:cs="" w:cstheme="minorBidi" w:eastAsiaTheme="minorHAnsi"/>
          <w:color w:val="auto"/>
          <w:kern w:val="0"/>
          <w:sz w:val="22"/>
          <w:szCs w:val="22"/>
          <w:lang w:val="en-US" w:eastAsia="en-US" w:bidi="ar-SA"/>
        </w:rPr>
        <w:t xml:space="preserve">the set </w:t>
      </w:r>
      <w:r>
        <w:rPr/>
        <w:t xml:space="preserve">of covariance matrices in accordance to their mixture proportions. </w:t>
      </w:r>
      <w:r>
        <w:rPr>
          <w:rFonts w:eastAsia="Calibri" w:cs="" w:cstheme="minorBidi" w:eastAsiaTheme="minorHAnsi"/>
          <w:color w:val="auto"/>
          <w:kern w:val="0"/>
          <w:sz w:val="22"/>
          <w:szCs w:val="22"/>
          <w:lang w:val="en-US" w:eastAsia="en-US" w:bidi="ar-SA"/>
        </w:rPr>
        <w:t>For example</w:t>
      </w:r>
      <w:r>
        <w:rPr/>
        <w:t xml:space="preserve">, a SNP affecting flowering may </w:t>
      </w:r>
      <w:r>
        <w:rPr>
          <w:rFonts w:eastAsia="Calibri" w:cs="" w:cstheme="minorBidi" w:eastAsiaTheme="minorHAnsi"/>
          <w:color w:val="auto"/>
          <w:kern w:val="0"/>
          <w:sz w:val="22"/>
          <w:szCs w:val="22"/>
          <w:lang w:val="en-US" w:eastAsia="en-US" w:bidi="ar-SA"/>
        </w:rPr>
        <w:t xml:space="preserve">have a high mixture proportion, or weight, on </w:t>
      </w:r>
      <w:r>
        <w:rPr/>
        <w:t>a covariance matrix created from a specific environmental cue. In th</w:t>
      </w:r>
      <w:r>
        <w:rPr>
          <w:rFonts w:eastAsia="Calibri" w:cs="" w:cstheme="minorBidi" w:eastAsiaTheme="minorHAnsi"/>
          <w:color w:val="auto"/>
          <w:kern w:val="0"/>
          <w:sz w:val="22"/>
          <w:szCs w:val="22"/>
          <w:lang w:val="en-US" w:eastAsia="en-US" w:bidi="ar-SA"/>
        </w:rPr>
        <w:t>at</w:t>
      </w:r>
      <w:r>
        <w:rPr/>
        <w:t xml:space="preserve"> case, we can infer that </w:t>
      </w:r>
      <w:r>
        <w:rPr>
          <w:rFonts w:eastAsia="Calibri" w:cs="" w:cstheme="minorBidi" w:eastAsiaTheme="minorHAnsi"/>
          <w:color w:val="auto"/>
          <w:kern w:val="0"/>
          <w:sz w:val="22"/>
          <w:szCs w:val="22"/>
          <w:lang w:val="en-US" w:eastAsia="en-US" w:bidi="ar-SA"/>
        </w:rPr>
        <w:t>that SNP’s effect on</w:t>
      </w:r>
      <w:r>
        <w:rPr/>
        <w:t xml:space="preserve"> flowering is caused by a response to that environmental cue. These user-specified and data-driven covariance matrices are an important advantage mash offers for studying patterns of GxE: the user-specified covariance matrices allow hypothesis testing of specific environmental drivers for </w:t>
      </w:r>
      <w:r>
        <w:rPr>
          <w:rFonts w:eastAsia="Calibri" w:cs="" w:cstheme="minorBidi" w:eastAsiaTheme="minorHAnsi"/>
          <w:color w:val="auto"/>
          <w:kern w:val="0"/>
          <w:sz w:val="22"/>
          <w:szCs w:val="22"/>
          <w:lang w:val="en-US" w:eastAsia="en-US" w:bidi="ar-SA"/>
        </w:rPr>
        <w:t>each</w:t>
      </w:r>
      <w:r>
        <w:rPr/>
        <w:t xml:space="preserve"> SNP, while the data-driven covariance matrices allow exploration of additional unexplained patterns of covariation. </w:t>
      </w:r>
    </w:p>
    <w:p>
      <w:pPr>
        <w:pStyle w:val="Normal"/>
        <w:rPr/>
      </w:pPr>
      <w:r>
        <w:rPr/>
        <w:tab/>
        <w:t xml:space="preserve">We used mash to examine GxE in greenup and flowering in three genetic subgroups: the Gulf, the Midwest, and both subpopulations, for a total of six mash runs. We first looked at the log-likelihoods of each of these six mash runs with and without our hypothesis-driven matrices. For mash models </w:t>
      </w:r>
      <w:r>
        <w:rPr>
          <w:rFonts w:eastAsia="Calibri" w:cs="" w:cstheme="minorBidi" w:eastAsiaTheme="minorHAnsi"/>
          <w:color w:val="auto"/>
          <w:kern w:val="0"/>
          <w:sz w:val="22"/>
          <w:szCs w:val="22"/>
          <w:lang w:val="en-US" w:eastAsia="en-US" w:bidi="ar-SA"/>
        </w:rPr>
        <w:t>with</w:t>
      </w:r>
      <w:r>
        <w:rPr/>
        <w:t xml:space="preserve"> both subpopulations, </w:t>
      </w:r>
      <w:r>
        <w:rPr>
          <w:rFonts w:eastAsia="Calibri" w:cs="" w:cstheme="minorBidi" w:eastAsiaTheme="minorHAnsi"/>
          <w:color w:val="auto"/>
          <w:kern w:val="0"/>
          <w:sz w:val="22"/>
          <w:szCs w:val="22"/>
          <w:lang w:val="en-US" w:eastAsia="en-US" w:bidi="ar-SA"/>
        </w:rPr>
        <w:t>including</w:t>
      </w:r>
      <w:r>
        <w:rPr/>
        <w:t xml:space="preserve"> the hypothesis covariance matrices significantly improved the model fit (greenup LR = 774 flowering LR = 2942). For the single subpopulations, the hypothesis covariance matrices improved the model fit for the Midwest for greenup and for the Gulf for flowering, but did not improve it for the other phenotype (Midwest greenup LR = 866; flowering LR =</w:t>
      </w:r>
      <w:r>
        <w:rPr>
          <w:strike w:val="false"/>
          <w:dstrike w:val="false"/>
        </w:rPr>
        <w:t xml:space="preserve"> -3063; Gulf greenup LR = -318; flowering LR = 1279). </w:t>
      </w:r>
    </w:p>
    <w:p>
      <w:pPr>
        <w:pStyle w:val="Normal"/>
        <w:rPr/>
      </w:pPr>
      <w:r>
        <w:rPr/>
        <w:tab/>
      </w:r>
      <w:r>
        <w:rPr>
          <w:rFonts w:eastAsia="Calibri" w:cs="" w:cstheme="minorBidi" w:eastAsiaTheme="minorHAnsi"/>
          <w:color w:val="auto"/>
          <w:kern w:val="0"/>
          <w:sz w:val="22"/>
          <w:szCs w:val="22"/>
          <w:lang w:val="en-US" w:eastAsia="en-US" w:bidi="ar-SA"/>
        </w:rPr>
        <w:t xml:space="preserve">The hypothesis-driven matrices </w:t>
      </w:r>
      <w:r>
        <w:rPr/>
        <w:t xml:space="preserve">were created from environmental correlations during or prior to the phenological event in the Gulf, Midwest, or both subpopulations (Table X). We used </w:t>
      </w:r>
      <w:r>
        <w:rPr>
          <w:rFonts w:eastAsia="Calibri" w:cs="" w:cstheme="minorBidi" w:eastAsiaTheme="minorHAnsi"/>
          <w:color w:val="auto"/>
          <w:kern w:val="0"/>
          <w:sz w:val="22"/>
          <w:szCs w:val="22"/>
          <w:lang w:val="en-US" w:eastAsia="en-US" w:bidi="ar-SA"/>
        </w:rPr>
        <w:t xml:space="preserve">distinct sets of </w:t>
      </w:r>
      <w:r>
        <w:rPr/>
        <w:t xml:space="preserve">user-specified, hypothesis-driven covariance matrices </w:t>
      </w:r>
      <w:r>
        <w:rPr>
          <w:rFonts w:eastAsia="Calibri" w:cs="" w:cstheme="minorBidi" w:eastAsiaTheme="minorHAnsi"/>
          <w:color w:val="auto"/>
          <w:kern w:val="0"/>
          <w:sz w:val="22"/>
          <w:szCs w:val="22"/>
          <w:lang w:val="en-US" w:eastAsia="en-US" w:bidi="ar-SA"/>
        </w:rPr>
        <w:t>for greenup and flowering, but the same set of hypothesis-driven covariance matrices for all genetic subgroups. Thus, we could directly compare the total weight mash placed on each of these matrices between subgroups for the same phenotype.</w:t>
      </w:r>
      <w:r>
        <w:rPr/>
        <w:t xml:space="preserve"> </w:t>
      </w:r>
      <w:r>
        <w:rPr>
          <w:rFonts w:eastAsia="Calibri" w:cs="" w:cstheme="minorBidi" w:eastAsiaTheme="minorHAnsi"/>
          <w:strike w:val="false"/>
          <w:dstrike w:val="false"/>
          <w:color w:val="auto"/>
          <w:kern w:val="0"/>
          <w:sz w:val="22"/>
          <w:szCs w:val="22"/>
          <w:lang w:val="en-US" w:eastAsia="en-US" w:bidi="ar-SA"/>
        </w:rPr>
        <w:t xml:space="preserve">All subgroups differed in which hypothesized covariance matrices had large weights (Fig 2B,E). For greenup for the Midwest subgroup, mash placed 28.6% of the weight on the covariance matrix created by correlating the temperature average in the 10 days prior to greenup. In contrast, hypothesized matrices created by correlating average temperature and cumulative GDD over 18 days had nonzero weights in the Gulf and both subgroups. For flowering, the Midwest had the largest hypothesis-driven weights for matrices correlating cumulative GDD from greenup to flowering, while the Gulf had the largest hypothesis-driven weights for matrices correlating daylength at flowering or daylength change before flowering. Thus, distinct environmental drivers best captured SNP effects in these two genetic subpopulations. Mash on both subgroups gave large hypothesis-driven weights for all three of these matrices, indicating that mash could detect both sets of cues in the combined population. Overall, </w:t>
      </w:r>
      <w:r>
        <w:rPr/>
        <w:t xml:space="preserve">the hypothesized covariance matrices had larger </w:t>
      </w:r>
      <w:r>
        <w:rPr>
          <w:rFonts w:eastAsia="Calibri" w:cs="" w:cstheme="minorBidi" w:eastAsiaTheme="minorHAnsi"/>
          <w:color w:val="auto"/>
          <w:kern w:val="0"/>
          <w:sz w:val="22"/>
          <w:szCs w:val="22"/>
          <w:lang w:val="en-US" w:eastAsia="en-US" w:bidi="ar-SA"/>
        </w:rPr>
        <w:t>weight</w:t>
      </w:r>
      <w:r>
        <w:rPr/>
        <w:t>s for the flowering phenotypes than the hypothesized matrices did for the greenup phenotypes, for all three genetic subgroups (Fig 2</w:t>
      </w:r>
      <w:r>
        <w:rPr>
          <w:rFonts w:eastAsia="Calibri" w:cs="" w:cstheme="minorBidi" w:eastAsiaTheme="minorHAnsi"/>
          <w:color w:val="auto"/>
          <w:kern w:val="0"/>
          <w:sz w:val="22"/>
          <w:szCs w:val="22"/>
          <w:lang w:val="en-US" w:eastAsia="en-US" w:bidi="ar-SA"/>
        </w:rPr>
        <w:t>C,F</w:t>
      </w:r>
      <w:r>
        <w:rPr/>
        <w:t xml:space="preserve">). This indicated that our hypothesized environmental drivers captured </w:t>
      </w:r>
      <w:r>
        <w:rPr>
          <w:rFonts w:eastAsia="Calibri" w:cs="" w:cstheme="minorBidi" w:eastAsiaTheme="minorHAnsi"/>
          <w:color w:val="auto"/>
          <w:kern w:val="0"/>
          <w:sz w:val="22"/>
          <w:szCs w:val="22"/>
          <w:lang w:val="en-US" w:eastAsia="en-US" w:bidi="ar-SA"/>
        </w:rPr>
        <w:t>more</w:t>
      </w:r>
      <w:r>
        <w:rPr/>
        <w:t xml:space="preserve"> variation in SNP effects for flowering </w:t>
      </w:r>
      <w:r>
        <w:rPr>
          <w:rFonts w:eastAsia="Calibri" w:cs="" w:cstheme="minorBidi" w:eastAsiaTheme="minorHAnsi"/>
          <w:color w:val="auto"/>
          <w:kern w:val="0"/>
          <w:sz w:val="22"/>
          <w:szCs w:val="22"/>
          <w:lang w:val="en-US" w:eastAsia="en-US" w:bidi="ar-SA"/>
        </w:rPr>
        <w:t xml:space="preserve">than they did </w:t>
      </w:r>
      <w:r>
        <w:rPr/>
        <w:t>for greenup.</w:t>
      </w:r>
    </w:p>
    <w:p>
      <w:pPr>
        <w:pStyle w:val="Normal"/>
        <w:rPr/>
      </w:pPr>
      <w:r>
        <w:rPr/>
      </w:r>
    </w:p>
    <w:p>
      <w:pPr>
        <w:pStyle w:val="Normal"/>
        <w:rPr>
          <w:b/>
          <w:b/>
          <w:bCs/>
        </w:rPr>
      </w:pPr>
      <w:r>
        <w:rPr>
          <w:b/>
          <w:bCs/>
        </w:rPr>
      </w:r>
    </w:p>
    <w:p>
      <w:pPr>
        <w:pStyle w:val="Normal"/>
        <w:rPr/>
      </w:pPr>
      <w:r>
        <w:br w:type="column"/>
      </w:r>
      <w:r>
        <w:rPr>
          <w:b/>
          <w:bCs/>
        </w:rPr>
        <w:t>Figure 2.</w:t>
      </w:r>
      <w:r>
        <w:rPr/>
        <w:t xml:space="preserve"> Example hypothesis-driven covariance matrices specified in mash and the posterior weights placed on all covariance matrices. A,D) Six example hypothesized covariance matrices specified for the A) greenup date phenotype and D) flowering date phenotype. A canonical covariance matrix of equal effects is also shown. B,E) </w:t>
      </w:r>
      <w:r>
        <w:rPr>
          <w:rFonts w:eastAsia="Calibri" w:cs="" w:cstheme="minorBidi" w:eastAsiaTheme="minorHAnsi"/>
          <w:color w:val="auto"/>
          <w:kern w:val="0"/>
          <w:sz w:val="22"/>
          <w:szCs w:val="22"/>
          <w:lang w:val="en-US" w:eastAsia="en-US" w:bidi="ar-SA"/>
        </w:rPr>
        <w:t>Total posterior weight placed on each covariance matrix type specified for B) greenup date and E) flowering date mash models. Hypothesized covariance matrices (green) were created from environment-specific correlations across eight common gardens, and are described in Table X.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mash runs on the genetic subgroups are not shown. C,F) Total posterior weight placed on covariance matrices that were hypothesized, data-driven, or canonical, for the C) greenup date phenotype and F) flowering date phenotype.</w:t>
      </w:r>
    </w:p>
    <w:p>
      <w:pPr>
        <w:pStyle w:val="Normal"/>
        <w:rPr/>
      </w:pPr>
      <w:r>
        <w:rPr/>
        <w:drawing>
          <wp:anchor behindDoc="0" distT="0" distB="0" distL="0" distR="0" simplePos="0" locked="0" layoutInCell="0" allowOverlap="1" relativeHeight="5">
            <wp:simplePos x="0" y="0"/>
            <wp:positionH relativeFrom="column">
              <wp:posOffset>-24765</wp:posOffset>
            </wp:positionH>
            <wp:positionV relativeFrom="paragraph">
              <wp:posOffset>-114935</wp:posOffset>
            </wp:positionV>
            <wp:extent cx="5943600" cy="52832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283200"/>
                    </a:xfrm>
                    <a:prstGeom prst="rect">
                      <a:avLst/>
                    </a:prstGeom>
                  </pic:spPr>
                </pic:pic>
              </a:graphicData>
            </a:graphic>
          </wp:anchor>
        </w:drawing>
      </w:r>
    </w:p>
    <w:p>
      <w:pPr>
        <w:pStyle w:val="Normal"/>
        <w:rPr/>
      </w:pPr>
      <w:r>
        <w:rPr/>
        <w:tab/>
        <w:t xml:space="preserve">We were particularly interested in the linked effects </w:t>
      </w:r>
      <w:r>
        <w:rPr>
          <w:rFonts w:eastAsia="Calibri" w:cs="" w:cstheme="minorBidi" w:eastAsiaTheme="minorHAnsi"/>
          <w:color w:val="auto"/>
          <w:kern w:val="0"/>
          <w:sz w:val="22"/>
          <w:szCs w:val="22"/>
          <w:lang w:val="en-US" w:eastAsia="en-US" w:bidi="ar-SA"/>
        </w:rPr>
        <w:t xml:space="preserve">for </w:t>
      </w:r>
      <w:r>
        <w:rPr/>
        <w:t xml:space="preserve">SNPs with significant non-zero effects (large Bayes factors) and moderate posterior weights on one or more hypothesized covariance matrix. These </w:t>
      </w:r>
      <w:r>
        <w:rPr>
          <w:rFonts w:eastAsia="Calibri" w:cs="" w:cstheme="minorBidi" w:eastAsiaTheme="minorHAnsi"/>
          <w:color w:val="auto"/>
          <w:kern w:val="0"/>
          <w:sz w:val="22"/>
          <w:szCs w:val="22"/>
          <w:lang w:val="en-US" w:eastAsia="en-US" w:bidi="ar-SA"/>
        </w:rPr>
        <w:t>SNPs</w:t>
      </w:r>
      <w:r>
        <w:rPr/>
        <w:t xml:space="preserve"> represent small genomic intervals with evidence for a phenotypic effect correlated with an environmental driver. Following our previous work, we considered SNPs with a log10-transformed Bayes Factor &gt; 2 as having decisive evidence in favor of non-zero phenotypic effects. We considered SNPs with at least 10% of their posterior weight on a hypothesized covariance matrix. </w:t>
      </w:r>
      <w:r>
        <w:rPr/>
        <w:t xml:space="preserve">Few SNPs met these criteria and were within 20kb of a functionally annotated gene: two and four for greenup in the Gulf and in both subgroups, and four and one for flowering in the Midwest and in both subgroups. </w:t>
      </w:r>
    </w:p>
    <w:p>
      <w:pPr>
        <w:pStyle w:val="Normal"/>
        <w:rPr/>
      </w:pPr>
      <w:r>
        <w:rPr/>
        <w:tab/>
        <w:t xml:space="preserve">The two SNPs for greenup in the Gulf subpopulation had high posterior weights on the cumulative GDD covariance matrix created for the 18 days before greenup for both the Gulf and Midwest subpopulation. This corresponds to the time period before and during greenup in the Gulf subpopulation. The homologs of these genes in rice were OsCPK25 and WP3. </w:t>
      </w:r>
      <w:r>
        <w:rPr/>
        <w:t xml:space="preserve">OsCPK25 is a calcium-dependent protein kinase in a gene family with high sequence similarity </w:t>
      </w:r>
      <w:r>
        <w:rPr/>
        <w:t>(Ray et al. 2007)</w:t>
      </w:r>
      <w:r>
        <w:rPr/>
        <w:t xml:space="preserve">; these genes are involved in many physiological responses and developmental processes. WP3, or </w:t>
      </w:r>
      <w:r>
        <w:rPr>
          <w:rFonts w:eastAsia="Calibri" w:cs="" w:cstheme="minorBidi" w:eastAsiaTheme="minorHAnsi"/>
          <w:color w:val="auto"/>
          <w:kern w:val="0"/>
          <w:sz w:val="22"/>
          <w:szCs w:val="22"/>
          <w:lang w:val="en-US" w:eastAsia="en-US" w:bidi="ar-SA"/>
        </w:rPr>
        <w:t>WHITE PANICLE</w:t>
      </w:r>
      <w:r>
        <w:rPr/>
        <w:t xml:space="preserve"> 3, is a nucleus-encoded mitochondrial protein essential for proper development and maintenance of chloroplasts and mitochondria in rice </w:t>
      </w:r>
      <w:r>
        <w:rPr/>
        <w:t>(Li et al. 2018)</w:t>
      </w:r>
      <w:r>
        <w:rPr/>
        <w:t xml:space="preserve">. </w:t>
      </w:r>
    </w:p>
    <w:p>
      <w:pPr>
        <w:pStyle w:val="Normal"/>
        <w:rPr/>
      </w:pPr>
      <w:r>
        <w:rPr/>
      </w:r>
    </w:p>
    <w:p>
      <w:pPr>
        <w:pStyle w:val="Normal"/>
        <w:rPr/>
      </w:pPr>
      <w:r>
        <w:rPr>
          <w:rFonts w:eastAsia="Calibri" w:cs="" w:cstheme="minorBidi" w:eastAsiaTheme="minorHAnsi"/>
          <w:color w:val="auto"/>
          <w:kern w:val="0"/>
          <w:sz w:val="22"/>
          <w:szCs w:val="22"/>
          <w:lang w:val="en-US" w:eastAsia="en-US" w:bidi="ar-SA"/>
        </w:rPr>
        <w:tab/>
        <w:t>The four SNPs for</w:t>
      </w:r>
      <w:r>
        <w:rPr/>
        <w:t xml:space="preserve"> flowering in the Midwest subpopulation </w:t>
      </w:r>
      <w:r>
        <w:rPr/>
        <w:t xml:space="preserve">had high posterior weights on the cumulative GDD covariance matrix created for values for both the Gulf and Midwest subpopulation, which corresponds to the time periods before and after the Midwest subpopulation was flowering. These SNPs also had high posterior weights for the equal effects covariance matrix. The homologs of these genes in rice were OsPLS1, OsSWIB, DSM1, and Roc8, </w:t>
      </w:r>
      <w:r>
        <w:rPr/>
        <w:t>two of which have functionally validated roles in flowering in other species</w:t>
      </w:r>
      <w:r>
        <w:rPr/>
        <w:t xml:space="preserve">. </w:t>
      </w:r>
      <w:r>
        <w:rPr/>
        <w:t xml:space="preserve">In rice, deletions in OsPLS1 lead to premature leaf senescence and leaf dormancy; </w:t>
      </w:r>
      <w:r>
        <w:rPr/>
        <w:t xml:space="preserve">mutants of this homolog in </w:t>
      </w:r>
      <w:r>
        <w:rPr>
          <w:i/>
          <w:iCs/>
        </w:rPr>
        <w:t>A. thaliana</w:t>
      </w:r>
      <w:r>
        <w:rPr/>
        <w:t xml:space="preserve"> show strong defects in male gametophyte development </w:t>
      </w:r>
      <w:r>
        <w:rPr>
          <w:rFonts w:eastAsia="Calibri" w:cs="" w:cstheme="minorBidi" w:eastAsiaTheme="minorHAnsi"/>
          <w:color w:val="auto"/>
          <w:kern w:val="0"/>
          <w:sz w:val="22"/>
          <w:szCs w:val="22"/>
          <w:lang w:val="en-US" w:eastAsia="en-US" w:bidi="ar-SA"/>
        </w:rPr>
        <w:t xml:space="preserve">which impairs fruit development and increases seed sterility </w:t>
      </w:r>
      <w:r>
        <w:rPr>
          <w:rFonts w:eastAsia="Calibri" w:cs="" w:cstheme="minorBidi" w:eastAsiaTheme="minorHAnsi"/>
          <w:color w:val="auto"/>
          <w:kern w:val="0"/>
          <w:sz w:val="22"/>
          <w:szCs w:val="22"/>
          <w:lang w:val="en-US" w:eastAsia="en-US" w:bidi="ar-SA"/>
        </w:rPr>
        <w:t>(Nakagawa et al. 2007)</w:t>
      </w:r>
      <w:r>
        <w:rPr>
          <w:rFonts w:eastAsia="Calibri" w:cs="" w:cstheme="minorBidi" w:eastAsiaTheme="minorHAnsi"/>
          <w:color w:val="auto"/>
          <w:kern w:val="0"/>
          <w:sz w:val="22"/>
          <w:szCs w:val="22"/>
          <w:lang w:val="en-US" w:eastAsia="en-US" w:bidi="ar-SA"/>
        </w:rPr>
        <w:t xml:space="preserve">. </w:t>
      </w:r>
      <w:r>
        <w:rPr/>
        <w:t xml:space="preserve">In </w:t>
      </w:r>
      <w:r>
        <w:rPr>
          <w:i/>
          <w:iCs/>
        </w:rPr>
        <w:t>A. thaliana</w:t>
      </w:r>
      <w:r>
        <w:rPr/>
        <w:t xml:space="preserve">, the homolog of OsSWIB, CHC1, is a protein that belongs to the chromodomain complex and is an important modulator of major developmental pathways, </w:t>
      </w:r>
      <w:r>
        <w:rPr/>
        <w:t>directly targeting the floral repressor FLC with mutants with severe defects in leaf and flower development, delayed flowering, and male sterility</w:t>
      </w:r>
      <w:r>
        <w:rPr/>
        <w:t xml:space="preserve"> </w:t>
      </w:r>
      <w:r>
        <w:rPr>
          <w:b w:val="false"/>
          <w:i w:val="false"/>
          <w:caps w:val="false"/>
          <w:smallCaps w:val="false"/>
          <w:position w:val="0"/>
          <w:sz w:val="22"/>
          <w:u w:val="none"/>
          <w:vertAlign w:val="baseline"/>
        </w:rPr>
        <w:t>(Sacharowski et al. 2015; Jégu et al. 2014).</w:t>
      </w:r>
      <w:r>
        <w:rPr>
          <w:b w:val="false"/>
          <w:i w:val="false"/>
          <w:caps w:val="false"/>
          <w:smallCaps w:val="false"/>
          <w:position w:val="0"/>
          <w:sz w:val="22"/>
          <w:u w:val="none"/>
          <w:vertAlign w:val="baseline"/>
        </w:rPr>
        <w:t xml:space="preserve">The other genes had functionally validated roles in stress tolerance and leaf shape. </w:t>
      </w:r>
      <w:r>
        <w:rPr>
          <w:b w:val="false"/>
          <w:i w:val="false"/>
          <w:caps w:val="false"/>
          <w:smallCaps w:val="false"/>
          <w:position w:val="0"/>
          <w:sz w:val="22"/>
          <w:u w:val="none"/>
          <w:vertAlign w:val="baseline"/>
        </w:rPr>
        <w:t xml:space="preserve">In rice, mutations in DSM1 indicate that it may act as an early signal regulating responses to drought and oxidative stress </w:t>
      </w:r>
      <w:r>
        <w:rPr>
          <w:b w:val="false"/>
          <w:i w:val="false"/>
          <w:caps w:val="false"/>
          <w:smallCaps w:val="false"/>
          <w:position w:val="0"/>
          <w:sz w:val="22"/>
          <w:u w:val="none"/>
          <w:vertAlign w:val="baseline"/>
        </w:rPr>
        <w:t>(Ning et al. 2010, 1)</w:t>
      </w:r>
      <w:r>
        <w:rPr>
          <w:b w:val="false"/>
          <w:i w:val="false"/>
          <w:caps w:val="false"/>
          <w:smallCaps w:val="false"/>
          <w:position w:val="0"/>
          <w:sz w:val="22"/>
          <w:u w:val="none"/>
          <w:vertAlign w:val="baseline"/>
        </w:rPr>
        <w:t xml:space="preserve">. </w:t>
      </w:r>
      <w:r>
        <w:rPr>
          <w:rFonts w:eastAsia="Calibri" w:cs="" w:cstheme="minorBidi" w:eastAsiaTheme="minorHAnsi"/>
          <w:b w:val="false"/>
          <w:i w:val="false"/>
          <w:caps w:val="false"/>
          <w:smallCaps w:val="false"/>
          <w:color w:val="auto"/>
          <w:kern w:val="0"/>
          <w:position w:val="0"/>
          <w:sz w:val="22"/>
          <w:sz w:val="22"/>
          <w:szCs w:val="22"/>
          <w:u w:val="none"/>
          <w:vertAlign w:val="baseline"/>
          <w:lang w:val="en-US" w:eastAsia="en-US" w:bidi="ar-SA"/>
        </w:rPr>
        <w:t>In rice,</w:t>
      </w:r>
      <w:r>
        <w:rPr>
          <w:b w:val="false"/>
          <w:i w:val="false"/>
          <w:caps w:val="false"/>
          <w:smallCaps w:val="false"/>
          <w:position w:val="0"/>
          <w:sz w:val="22"/>
          <w:u w:val="none"/>
          <w:vertAlign w:val="baseline"/>
        </w:rPr>
        <w:t xml:space="preserve"> Roc8 </w:t>
      </w:r>
      <w:r>
        <w:rPr>
          <w:b w:val="false"/>
          <w:i w:val="false"/>
          <w:caps w:val="false"/>
          <w:smallCaps w:val="false"/>
          <w:position w:val="0"/>
          <w:sz w:val="22"/>
          <w:u w:val="none"/>
          <w:vertAlign w:val="baseline"/>
        </w:rPr>
        <w:t xml:space="preserve">has been found to </w:t>
      </w:r>
      <w:r>
        <w:rPr>
          <w:b w:val="false"/>
          <w:i w:val="false"/>
          <w:caps w:val="false"/>
          <w:smallCaps w:val="false"/>
          <w:position w:val="0"/>
          <w:sz w:val="22"/>
          <w:u w:val="none"/>
          <w:vertAlign w:val="baseline"/>
        </w:rPr>
        <w:t xml:space="preserve">regulate the size of bulliform cells and lignin content in rice, </w:t>
      </w:r>
      <w:r>
        <w:rPr>
          <w:b w:val="false"/>
          <w:i w:val="false"/>
          <w:caps w:val="false"/>
          <w:smallCaps w:val="false"/>
          <w:position w:val="0"/>
          <w:sz w:val="22"/>
          <w:u w:val="none"/>
          <w:vertAlign w:val="baseline"/>
        </w:rPr>
        <w:t xml:space="preserve">affecting leaf curling and leaf shape </w:t>
      </w:r>
      <w:r>
        <w:rPr>
          <w:b w:val="false"/>
          <w:i w:val="false"/>
          <w:caps w:val="false"/>
          <w:smallCaps w:val="false"/>
          <w:position w:val="0"/>
          <w:sz w:val="22"/>
          <w:u w:val="none"/>
          <w:vertAlign w:val="baseline"/>
        </w:rPr>
        <w:t>(Sun et al. 2020)</w:t>
      </w:r>
      <w:r>
        <w:rPr/>
        <w:t>.</w:t>
      </w:r>
    </w:p>
    <w:p>
      <w:pPr>
        <w:pStyle w:val="Normal"/>
        <w:rPr/>
      </w:pPr>
      <w:r>
        <w:rPr/>
        <w:tab/>
        <w:t xml:space="preserve">For flowering for both subgroups, the SNP meeting these criteria was on Chr04N at 41.2Mb, and was ~6kb from the gene Pavir.4NG180000. The homolog of this gene in rice is OsFTIP1, which regulates florigen transport in rice and is negatively regulated by a ubiquitin-like domain kinase </w:t>
      </w:r>
      <w:r>
        <w:rPr/>
        <w:t>(Song et al. 2017)</w:t>
      </w:r>
      <w:r>
        <w:rPr/>
        <w:t xml:space="preserve">. This SNP had high posterior weight on the daylength change (in seconds) around the time the Midwest subpopulation was flowering </w:t>
      </w:r>
      <w:r>
        <w:rPr/>
        <w:t>and before the time the Gulf subpopulation was flowering (Figure 1A)</w:t>
      </w:r>
      <w:r>
        <w:rPr/>
        <w:t xml:space="preserve">. </w:t>
      </w:r>
    </w:p>
    <w:p>
      <w:pPr>
        <w:pStyle w:val="Normal"/>
        <w:rPr/>
      </w:pPr>
      <w:r>
        <w:rPr/>
        <w:tab/>
        <w:t>We then explored additional SNP effect patterns in the greenup and flowering date data as described by the data-driven covariance matrices.</w:t>
      </w:r>
    </w:p>
    <w:p>
      <w:pPr>
        <w:pStyle w:val="Normal"/>
        <w:rPr/>
      </w:pPr>
      <w:r>
        <w:rPr/>
      </w:r>
    </w:p>
    <w:p>
      <w:pPr>
        <w:pStyle w:val="Normal"/>
        <w:rPr/>
      </w:pPr>
      <w:r>
        <w:rPr/>
        <w:tab/>
        <w:t xml:space="preserve">Finally, we characterized overall patterns of differential sensitivity and antagonistic pleiotropy between all SNPs with significant effects at all pairs of gardens. </w:t>
      </w:r>
    </w:p>
    <w:p>
      <w:pPr>
        <w:pStyle w:val="Normal"/>
        <w:rPr/>
      </w:pPr>
      <w:r>
        <w:br w:type="column"/>
      </w:r>
      <w:r>
        <w:rPr/>
      </w:r>
    </w:p>
    <w:p>
      <w:pPr>
        <w:pStyle w:val="Normal"/>
        <w:rPr/>
      </w:pPr>
      <w:r>
        <w:rPr/>
      </w:r>
    </w:p>
    <w:tbl>
      <w:tblPr>
        <w:tblW w:w="9360" w:type="dxa"/>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Phenotype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Name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Description</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growing degree days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Temp_ave</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average temperature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day length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daylength_change_seconds</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the change in daylength (in seconds)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cgdd_greenup_to_flowering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GDD between greenup and flowering.</w:t>
            </w:r>
          </w:p>
        </w:tc>
      </w:tr>
      <w:tr>
        <w:trPr/>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cumulative_rainfall</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rainfall in the one, three, or five days before flowering, or in the days between greenup and flowering.</w:t>
            </w:r>
          </w:p>
        </w:tc>
      </w:tr>
    </w:tbl>
    <w:p>
      <w:pPr>
        <w:pStyle w:val="Normal"/>
        <w:rPr/>
      </w:pPr>
      <w:r>
        <w:rPr/>
      </w:r>
    </w:p>
    <w:p>
      <w:pPr>
        <w:pStyle w:val="Normal"/>
        <w:ind w:firstLine="720"/>
        <w:rPr/>
      </w:pPr>
      <w:r>
        <w:rPr/>
      </w:r>
    </w:p>
    <w:p>
      <w:pPr>
        <w:pStyle w:val="Normal"/>
        <w:rPr>
          <w:i/>
          <w:i/>
          <w:iCs/>
        </w:rPr>
      </w:pPr>
      <w:r>
        <w:rPr>
          <w:i/>
          <w:iCs/>
        </w:rPr>
        <w:t>----- I still need to rework this part ------------</w:t>
      </w:r>
    </w:p>
    <w:p>
      <w:pPr>
        <w:pStyle w:val="Normal"/>
        <w:rPr>
          <w:i/>
          <w:i/>
          <w:iCs/>
        </w:rPr>
      </w:pPr>
      <w:r>
        <w:rPr>
          <w:i/>
          <w:iCs/>
        </w:rPr>
      </w:r>
    </w:p>
    <w:p>
      <w:pPr>
        <w:pStyle w:val="Normal"/>
        <w:spacing w:before="0" w:after="120"/>
        <w:rPr/>
      </w:pPr>
      <w:r>
        <w:rPr>
          <w:i/>
          <w:iCs/>
        </w:rPr>
        <w:t xml:space="preserve">Confirmation of </w:t>
      </w:r>
      <w:r>
        <w:rPr>
          <w:rFonts w:eastAsia="Calibri" w:cs="" w:cstheme="minorBidi" w:eastAsiaTheme="minorHAnsi"/>
          <w:i/>
          <w:iCs/>
          <w:color w:val="auto"/>
          <w:kern w:val="0"/>
          <w:sz w:val="22"/>
          <w:szCs w:val="22"/>
          <w:lang w:val="en-US" w:eastAsia="en-US" w:bidi="ar-SA"/>
        </w:rPr>
        <w:t>genotype-by-environment</w:t>
      </w:r>
      <w:r>
        <w:rPr>
          <w:i/>
          <w:iCs/>
        </w:rPr>
        <w:t xml:space="preserve"> effects using a four-way cross </w:t>
      </w:r>
    </w:p>
    <w:p>
      <w:pPr>
        <w:pStyle w:val="Normal"/>
        <w:ind w:firstLine="720"/>
        <w:rPr/>
      </w:pPr>
      <w:r>
        <w:rPr/>
        <w:t xml:space="preserve">To confirm candidate genomic regions and allelic effects underlying the flowering responses in the Gulf and Midwest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genotypes, AP13xDAC, and the two late flowering genotypes, WBCxVS16. We then clonally propagated and planted the four parents, the two F1 genotypes (AP13xDAC, and VS16xWBC), and 801 F2 genotypes at eight field sites, then recorded greenup and flowering date for the 2019 </w:t>
      </w:r>
      <w:commentRangeStart w:id="9"/>
      <w:commentRangeStart w:id="10"/>
      <w:r>
        <w:rPr/>
        <w:t>season</w:t>
      </w:r>
      <w:r>
        <w:rPr/>
      </w:r>
      <w:commentRangeEnd w:id="10"/>
      <w:r>
        <w:commentReference w:id="10"/>
      </w:r>
      <w:r>
        <w:rPr/>
      </w:r>
      <w:commentRangeEnd w:id="9"/>
      <w:r>
        <w:commentReference w:id="9"/>
      </w:r>
      <w:r>
        <w:rPr/>
        <w:t>.</w:t>
      </w:r>
    </w:p>
    <w:p>
      <w:pPr>
        <w:pStyle w:val="Normal"/>
        <w:ind w:firstLine="720"/>
        <w:rPr/>
      </w:pPr>
      <w:r>
        <w:rPr/>
        <w:t xml:space="preserve">To look for </w:t>
      </w:r>
      <w:commentRangeStart w:id="11"/>
      <w:r>
        <w:rPr/>
        <w:t>dominance</w:t>
      </w:r>
      <w:r>
        <w:rPr/>
      </w:r>
      <w:commentRangeEnd w:id="11"/>
      <w:r>
        <w:commentReference w:id="11"/>
      </w:r>
      <w:r>
        <w:rPr/>
        <w:t xml:space="preserve"> in flowering cues, we compared the 2019 flowering dates of the two F1 genotypes to those of the fourway parent genotypes and to the diversity panel. The F1 genotypes differed in flowering date by 17 days on average; however, both F1 genotypes flowered at </w:t>
      </w:r>
      <w:commentRangeStart w:id="12"/>
      <w:r>
        <w:rPr/>
        <w:t xml:space="preserve">similar dates as their Midwest parent genotype each year, and as Midwest subpopulation individuals in general (Supplementary Figure X; early and late F1s flowered 8.1 +/- 8.1 and 7.9 +/- 13.3 days behind their F0 parents). </w:t>
      </w:r>
      <w:commentRangeEnd w:id="12"/>
      <w:r>
        <w:commentReference w:id="12"/>
      </w:r>
      <w:r>
        <w:rPr/>
      </w:r>
    </w:p>
    <w:p>
      <w:pPr>
        <w:pStyle w:val="Normal"/>
        <w:ind w:firstLine="720"/>
        <w:rPr/>
      </w:pPr>
      <w:r>
        <w:rPr/>
        <w:t xml:space="preserve">To confirm associations for flowering in our diversity GWAS panel, we conducted QTL mapping of greenup and flowering in 2019 for seven common gardens. We again analyzed flowering in three ways: as a function of Julian date (‘flowering date’), as a function of cumulative GDD between greenup and flowering (‘flowering GDD’), and as a function of daylength at flowering (‘flowering daylength’). There were no significant QTL for greenup. There were eight QTL for flowering date and five QTL for flowering GDD, three of which overlapped with QTL for flowering date. There were ten QTL for flowering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All QTL for flowering overlapped one or more homologs from rice or </w:t>
      </w:r>
      <w:r>
        <w:rPr>
          <w:i/>
          <w:iCs/>
        </w:rPr>
        <w:t>A. thaliana</w:t>
      </w:r>
      <w:r>
        <w:rPr/>
        <w:t xml:space="preserve"> with functionally validated roles in flowering.  The most significant QTL were on Chr02N, Chr04K, and two positions on Chr05N.  Of these strongest four QTL, all but the QTL on Chr02N had consistent associations in five or more GWAS (Figure 2).  The QTL on Chr02N overlapped Pavir.2NG474600, which is homologous to the rice gene SIP1. SIP1 participates in regulation of flowering time in rice by recruiting OsTrx1 to Ehd1, a major promoter of flowering. The QTL on Chr04K overlapped six genes with functional validated roles in flowering, including Pavir.4KG047800, which is homologous to the rice gene Hd3a. Hd3a promotes transition to flowering downstream of Hd1 under short-day conditions in rice. The QTL at 2Mb on Chr05N overlapped five genes with functional validated roles in flowering, including Pavir.4KG047800</w:t>
      </w:r>
    </w:p>
    <w:p>
      <w:pPr>
        <w:pStyle w:val="Normal"/>
        <w:ind w:firstLine="720"/>
        <w:rPr>
          <w:i/>
          <w:i/>
          <w:iCs/>
        </w:rPr>
      </w:pPr>
      <w:r>
        <w:rPr>
          <w:i/>
          <w:iCs/>
        </w:rPr>
        <w:t>Of the smaller QTL, the QTL for flowering daylength on Chr02K, and the QTL for flowering daylength on Chr09N overlapped with the 20kb interval with consistent associations in five or more GWAS. Thus, we confirmed that five genomic regions with consistent genetic associations also had effects on flowering in a four-way mapping population created from individuals from the same populations.</w:t>
        <w:tab/>
        <w:t xml:space="preserve"> </w:t>
      </w:r>
    </w:p>
    <w:p>
      <w:pPr>
        <w:pStyle w:val="Normal"/>
        <w:rPr>
          <w:i/>
          <w:i/>
          <w:iCs/>
        </w:rPr>
      </w:pPr>
      <w:r>
        <w:rPr>
          <w:i/>
          <w:iCs/>
        </w:rPr>
        <w:t xml:space="preserve">Confirmation of genotype-by environment effects using a fourway cross </w:t>
      </w:r>
    </w:p>
    <w:p>
      <w:pPr>
        <w:pStyle w:val="Normal"/>
        <w:rPr>
          <w:i/>
          <w:i/>
          <w:iCs/>
        </w:rPr>
      </w:pPr>
      <w:r>
        <w:rPr>
          <w:i/>
          <w:iCs/>
        </w:rPr>
        <w:tab/>
        <w:t>How many mash regions with GxE colocalized with these 8 QTL?</w:t>
      </w:r>
    </w:p>
    <w:p>
      <w:pPr>
        <w:pStyle w:val="Normal"/>
        <w:ind w:firstLine="720"/>
        <w:rPr/>
      </w:pPr>
      <w:r>
        <w:rPr/>
        <w:t xml:space="preserve">All eight QTL for flowering date exhibited significant GxE between common garden sites. Our cross design allowed us to estimate allelic effects of alleles from all four parents as contrasts of alleles in the F2 individuals. In the </w:t>
      </w:r>
      <w:commentRangeStart w:id="13"/>
      <w:r>
        <w:rPr/>
        <w:t>early flowering allele set</w:t>
      </w:r>
      <w:r>
        <w:rPr/>
      </w:r>
      <w:commentRangeEnd w:id="13"/>
      <w:r>
        <w:commentReference w:id="13"/>
      </w:r>
      <w:r>
        <w:rPr/>
        <w:t xml:space="preserve">, AxB, at TX2, five of eight lowland alleles delayed flowering date. In the CxD cross at TX2, four of eight lowland alleles delayed flowering date – four of the same five regions that delayed flowering date in the AxB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AxB early flowering alleles, the Midwest allele was accelerating flowering by reducing flowering date. For 17 site by QTL combinations for the CxD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pPr>
        <w:pStyle w:val="Normal"/>
        <w:ind w:firstLine="720"/>
        <w:rPr/>
      </w:pPr>
      <w:r>
        <w:rPr/>
        <w:t xml:space="preserve">All five QTL for flowering GDD exhibited significant GxE between common garden sites. In the early flowering allele set, </w:t>
      </w:r>
      <w:commentRangeStart w:id="14"/>
      <w:r>
        <w:rPr/>
        <w:t>27 AxB alleles accelerated flowering by decreasing the GDD required for flowering</w:t>
      </w:r>
      <w:r>
        <w:rPr/>
      </w:r>
      <w:commentRangeEnd w:id="14"/>
      <w:r>
        <w:commentReference w:id="14"/>
      </w:r>
      <w:r>
        <w:rPr/>
        <w:t>, while 20 CxD alleles accelerating flowering by decreasing GDD.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pPr>
        <w:pStyle w:val="Normal"/>
        <w:rPr>
          <w:i/>
          <w:i/>
          <w:iCs/>
        </w:rPr>
      </w:pPr>
      <w:r>
        <w:rPr>
          <w:i/>
          <w:iCs/>
        </w:rPr>
      </w:r>
    </w:p>
    <w:p>
      <w:pPr>
        <w:pStyle w:val="Normal"/>
        <w:rPr>
          <w:i/>
          <w:i/>
          <w:iCs/>
        </w:rPr>
      </w:pPr>
      <w:r>
        <w:rPr>
          <w:i/>
          <w:iCs/>
        </w:rPr>
      </w:r>
    </w:p>
    <w:p>
      <w:pPr>
        <w:pStyle w:val="Normal"/>
        <w:rPr>
          <w:i/>
          <w:i/>
          <w:iCs/>
        </w:rPr>
      </w:pPr>
      <w:r>
        <w:rPr>
          <w:i/>
          <w:iCs/>
        </w:rPr>
        <w:drawing>
          <wp:anchor behindDoc="0" distT="0" distB="0" distL="114300" distR="114300" simplePos="0" locked="0" layoutInCell="0" allowOverlap="1" relativeHeight="4">
            <wp:simplePos x="0" y="0"/>
            <wp:positionH relativeFrom="margin">
              <wp:posOffset>0</wp:posOffset>
            </wp:positionH>
            <wp:positionV relativeFrom="paragraph">
              <wp:posOffset>284480</wp:posOffset>
            </wp:positionV>
            <wp:extent cx="5943600" cy="2418715"/>
            <wp:effectExtent l="0" t="0" r="0" b="0"/>
            <wp:wrapSquare wrapText="bothSides"/>
            <wp:docPr id="3"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A picture containing hanging, light, sitting, white&#10;&#10;Description automatically generated"/>
                    <pic:cNvPicPr>
                      <a:picLocks noChangeAspect="1" noChangeArrowheads="1"/>
                    </pic:cNvPicPr>
                  </pic:nvPicPr>
                  <pic:blipFill>
                    <a:blip r:embed="rId4"/>
                    <a:stretch>
                      <a:fillRect/>
                    </a:stretch>
                  </pic:blipFill>
                  <pic:spPr bwMode="auto">
                    <a:xfrm>
                      <a:off x="0" y="0"/>
                      <a:ext cx="5943600" cy="2418715"/>
                    </a:xfrm>
                    <a:prstGeom prst="rect">
                      <a:avLst/>
                    </a:prstGeom>
                  </pic:spPr>
                </pic:pic>
              </a:graphicData>
            </a:graphic>
          </wp:anchor>
        </w:drawing>
      </w:r>
    </w:p>
    <w:p>
      <w:pPr>
        <w:pStyle w:val="Normal"/>
        <w:rPr>
          <w:b/>
          <w:b/>
          <w:bCs/>
        </w:rPr>
      </w:pPr>
      <w:r>
        <w:rPr>
          <w:b/>
          <w:bCs/>
        </w:rPr>
        <w:t>Discussion</w:t>
      </w:r>
    </w:p>
    <w:p>
      <w:pPr>
        <w:pStyle w:val="ListParagraph"/>
        <w:numPr>
          <w:ilvl w:val="0"/>
          <w:numId w:val="1"/>
        </w:numPr>
        <w:rPr>
          <w:i/>
          <w:i/>
          <w:iCs/>
        </w:rPr>
      </w:pPr>
      <w:r>
        <w:rPr>
          <w:i/>
          <w:iCs/>
        </w:rPr>
        <w:t>Possible reasons why we didn’t find candidates in GWAS for other three QTL intervals: false negatives, type of allele shifts we are testing here vs the fourway, allele frequency: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p>
    <w:p>
      <w:pPr>
        <w:pStyle w:val="ListParagraph"/>
        <w:numPr>
          <w:ilvl w:val="0"/>
          <w:numId w:val="1"/>
        </w:numPr>
        <w:rPr>
          <w:i/>
          <w:i/>
          <w:iCs/>
        </w:rPr>
      </w:pPr>
      <w:r>
        <w:rPr>
          <w:i/>
          <w:iCs/>
        </w:rP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pPr>
        <w:pStyle w:val="ListParagraph"/>
        <w:numPr>
          <w:ilvl w:val="0"/>
          <w:numId w:val="1"/>
        </w:numPr>
        <w:rPr>
          <w:i/>
          <w:i/>
          <w:iCs/>
        </w:rPr>
      </w:pPr>
      <w:r>
        <w:rPr>
          <w:i/>
          <w:iCs/>
        </w:rPr>
        <w:t>Discussion of environmental cues and environmental covariation. There is some compelling evidence that the gulf pop has evolved different critical cues compared to Midwest.</w:t>
      </w:r>
    </w:p>
    <w:p>
      <w:pPr>
        <w:pStyle w:val="ListParagraph"/>
        <w:numPr>
          <w:ilvl w:val="1"/>
          <w:numId w:val="1"/>
        </w:numPr>
        <w:rPr/>
      </w:pPr>
      <w:r>
        <w:rPr/>
        <w:t xml:space="preserve">Strikingly, across both subpopulations, flowering as a function of daylength had stronger associations in Texas, and flowering as a function of GDD had stronger associations in the North (Figure 2). Indeed, the Gulf subpopulation only had significant associations for daylength in the Texas gardens, not for GDD, while the Midwest subpopulation only had significant associations for cumulative GDD in the Texas gardens, not for daylength. </w:t>
      </w:r>
    </w:p>
    <w:p>
      <w:pPr>
        <w:pStyle w:val="ListParagraph"/>
        <w:numPr>
          <w:ilvl w:val="1"/>
          <w:numId w:val="1"/>
        </w:numPr>
        <w:rPr>
          <w:i/>
          <w:i/>
          <w:iCs/>
        </w:rPr>
      </w:pPr>
      <w:r>
        <w:rPr/>
        <w:t xml:space="preserve">Mash on Midwest subpopulation found SNP effects that covary as cumulative GDD covaries, while mash on the Gulf subpopulation found SNP effects that covary as daylength, or daylength change at an interval slightly before Gulf flowering, daylength change at Midwest flowering (Midwest almost always flowers a similar timespan before the Gulf flowerings). </w:t>
      </w:r>
    </w:p>
    <w:p>
      <w:pPr>
        <w:pStyle w:val="ListParagraph"/>
        <w:numPr>
          <w:ilvl w:val="1"/>
          <w:numId w:val="1"/>
        </w:numPr>
        <w:rPr>
          <w:i/>
          <w:i/>
          <w:iCs/>
        </w:rPr>
      </w:pPr>
      <w:r>
        <w:rPr/>
        <w:t>These distinct cues led to somewhat confounding results in the Gulf/Midwest fourway cross and in the Gulf &amp; Midwest diversity panel. In the diversity panel, daylength cues dominated, probably because of the large number of Gulf plants compared to Midwest plants (more than twice as many Gulf plants at most sites). In the fourway cross, F1s demonstrated that Midwest cues were dominant. However, the QTL with the highest LOD scores were for daylength. All QTL but one for cGDD colocalized with QTL for daylength change or daylength. In contrast, daylength had four QTL that did not colocalize with cGDD.</w:t>
      </w:r>
    </w:p>
    <w:p>
      <w:pPr>
        <w:pStyle w:val="ListParagraph"/>
        <w:numPr>
          <w:ilvl w:val="1"/>
          <w:numId w:val="1"/>
        </w:numPr>
        <w:rPr>
          <w:i/>
          <w:i/>
          <w:iCs/>
        </w:rPr>
      </w:pPr>
      <w:r>
        <w:rPr/>
        <w:t>Our weather covariance matrices did explain some patterns of SNP effects, but there were major patterns of SNP effects not explained by weather data. Luckily, these patterns loaded onto data-driven covariance matrices, so we could understand these patterns and potential location-specific drivers, even if we could not map these to specific environmental cues at this time.</w:t>
      </w:r>
    </w:p>
    <w:p>
      <w:pPr>
        <w:pStyle w:val="Normal"/>
        <w:ind w:firstLine="360"/>
        <w:rPr/>
      </w:pPr>
      <w:r>
        <w:rPr/>
        <w:t xml:space="preserve">Spring growth is initiated by “adequate temperature” according to McMillan and Weiler (1959), with adequacy thought to be dependent on the cultivar </w:t>
      </w:r>
      <w:r>
        <w:fldChar w:fldCharType="begin"/>
      </w:r>
      <w:r>
        <w:rPr/>
        <w:instrText>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Pr/>
      </w:r>
      <w:r>
        <w:rPr/>
        <w:fldChar w:fldCharType="separate"/>
      </w:r>
      <w:r>
        <w:rPr/>
        <w:t>(Parrish and Fike 2005)</w:t>
      </w:r>
      <w:r>
        <w:rPr/>
      </w:r>
      <w:r>
        <w:rPr/>
        <w:fldChar w:fldCharType="end"/>
      </w:r>
      <w:r>
        <w:rPr/>
        <w:t>. During vegetative growth, switchgrass phenology is closely correlated with growing degree days (GDD), the cumulative mean daily temperature less a base temperature</w:t>
      </w:r>
      <w:bookmarkStart w:id="3" w:name="_Hlk41465404"/>
      <w:r>
        <w:rPr/>
        <w:t xml:space="preserve"> (Madakadze et al 1998c; Sanderson and Wolf, 1995a, 1995b).</w:t>
      </w:r>
      <w:bookmarkEnd w:id="3"/>
      <w:r>
        <w:rP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Pr>
          <w:i/>
          <w:iCs/>
        </w:rPr>
        <w:t>per se</w:t>
      </w:r>
      <w:r>
        <w:rPr/>
        <w:t xml:space="preserve"> that triggers spring growth (Parish and Fike 2005).</w:t>
      </w:r>
    </w:p>
    <w:p>
      <w:pPr>
        <w:pStyle w:val="Normal"/>
        <w:ind w:firstLine="360"/>
        <w:rPr/>
      </w:pPr>
      <w:r>
        <w:rP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pPr>
        <w:pStyle w:val="Normal"/>
        <w:ind w:firstLine="360"/>
        <w:rPr/>
      </w:pPr>
      <w:r>
        <w:rP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pPr>
        <w:pStyle w:val="Normal"/>
        <w:rPr/>
      </w:pPr>
      <w:r>
        <w:rPr/>
      </w:r>
    </w:p>
    <w:p>
      <w:pPr>
        <w:pStyle w:val="Normal"/>
        <w:rPr/>
      </w:pPr>
      <w:r>
        <w:br w:type="column"/>
      </w:r>
      <w:r>
        <w:rPr>
          <w:b/>
          <w:bCs/>
        </w:rPr>
        <w:t>Methods</w:t>
      </w:r>
    </w:p>
    <w:p>
      <w:pPr>
        <w:pStyle w:val="Normal"/>
        <w:rPr>
          <w:b/>
          <w:b/>
          <w:bCs/>
          <w:i/>
          <w:i/>
          <w:iCs/>
        </w:rPr>
      </w:pPr>
      <w:r>
        <w:rPr>
          <w:b/>
          <w:bCs/>
          <w:i/>
          <w:iCs/>
        </w:rPr>
        <w:t>Diversity panel and Single Nucleotide Polymorphism Dataset</w:t>
      </w:r>
    </w:p>
    <w:p>
      <w:pPr>
        <w:pStyle w:val="Normal"/>
        <w:rPr/>
      </w:pPr>
      <w:r>
        <w:rPr/>
        <w:tab/>
        <w:t>Overview of the diversity panel.</w:t>
      </w:r>
    </w:p>
    <w:p>
      <w:pPr>
        <w:pStyle w:val="Normal"/>
        <w:rPr>
          <w:i/>
          <w:i/>
          <w:iCs/>
        </w:rPr>
      </w:pPr>
      <w:r>
        <w:rPr>
          <w:i/>
          <w:iCs/>
        </w:rPr>
        <w:t xml:space="preserve">Panel collection, propagation, cultivation, and phenotyping </w:t>
      </w:r>
    </w:p>
    <w:p>
      <w:pPr>
        <w:pStyle w:val="Normal"/>
        <w:rPr/>
      </w:pPr>
      <w:r>
        <w:rP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Pr>
          <w:vertAlign w:val="superscript"/>
        </w:rPr>
        <w:t>st</w:t>
      </w:r>
      <w:r>
        <w:rPr/>
        <w:t xml:space="preserve">, 2019 were removed from the experiment and replaced with Blackwell cultivar plants in July or September 2019.  </w:t>
      </w:r>
    </w:p>
    <w:p>
      <w:pPr>
        <w:pStyle w:val="Normal"/>
        <w:rPr/>
      </w:pPr>
      <w:r>
        <w:rPr/>
        <w:tab/>
        <w:t xml:space="preserve">&lt;&lt;Paragraph about how the phenotypes of greenup, emergence, and flowering were scored. Should talk with Jason for specifics after looking in his metadata about this.&gt;&gt; </w:t>
      </w:r>
    </w:p>
    <w:p>
      <w:pPr>
        <w:pStyle w:val="Normal"/>
        <w:rPr>
          <w:i/>
          <w:i/>
          <w:iCs/>
        </w:rPr>
      </w:pPr>
      <w:r>
        <w:rPr>
          <w:i/>
          <w:iCs/>
        </w:rPr>
        <w:t>Panel sequencing and ecotype classification</w:t>
      </w:r>
    </w:p>
    <w:p>
      <w:pPr>
        <w:pStyle w:val="Normal"/>
        <w:ind w:firstLine="720"/>
        <w:rPr/>
      </w:pPr>
      <w:r>
        <w:rPr/>
        <w:t>The resequencing of the diversity panel has been described previously (Lovell et al 202X). Briefly, 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Pr>
          <w:vertAlign w:val="superscript"/>
        </w:rPr>
        <w:t>cite_bwa</w:t>
      </w:r>
      <w:r>
        <w:rPr/>
        <w:t>, and SNPs were called using SAMtools mpileup</w:t>
      </w:r>
      <w:r>
        <w:fldChar w:fldCharType="begin"/>
      </w:r>
      <w:r>
        <w:rPr/>
        <w:instrText>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Pr/>
      </w:r>
      <w:r>
        <w:rPr/>
        <w:fldChar w:fldCharType="separate"/>
      </w:r>
      <w:r>
        <w:rPr/>
      </w:r>
      <w:r>
        <w:rPr>
          <w:rFonts w:eastAsia="Arial"/>
          <w:vertAlign w:val="superscript"/>
        </w:rPr>
        <w:t>84</w:t>
      </w:r>
      <w:r>
        <w:rPr/>
      </w:r>
      <w:r>
        <w:rPr/>
        <w:fldChar w:fldCharType="end"/>
      </w:r>
      <w:r>
        <w:rPr/>
        <w:t xml:space="preserve"> and Varscan V2.4.0</w:t>
      </w:r>
      <w:r>
        <w:fldChar w:fldCharType="begin"/>
      </w:r>
      <w:r>
        <w:rPr/>
        <w:instrText>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Pr/>
      </w:r>
      <w:r>
        <w:rPr/>
        <w:fldChar w:fldCharType="separate"/>
      </w:r>
      <w:r>
        <w:rPr/>
      </w:r>
      <w:r>
        <w:rPr>
          <w:rFonts w:eastAsia="Arial"/>
          <w:vertAlign w:val="superscript"/>
        </w:rPr>
        <w:t>85</w:t>
      </w:r>
      <w:r>
        <w:rPr/>
      </w:r>
      <w:r>
        <w:rPr/>
        <w:fldChar w:fldCharType="end"/>
      </w:r>
      <w:r>
        <w:rPr/>
        <w:t xml:space="preserve"> with a minimum coverage of eight and a minimum alternate allele count of four. Only SNPs with ≤ 20% missing data and minor allele frequencies &gt; 0.05 were retained, resulting in 8.8 to 12.3 million SNPs used for genome wide association, depending on the individuals retained. </w:t>
      </w:r>
    </w:p>
    <w:p>
      <w:pPr>
        <w:pStyle w:val="Normal"/>
        <w:rPr>
          <w:i/>
          <w:i/>
          <w:iCs/>
        </w:rPr>
      </w:pPr>
      <w:r>
        <w:rPr>
          <w:i/>
          <w:iCs/>
        </w:rPr>
        <w:t>Environmental functions for greenup and flowering</w:t>
      </w:r>
    </w:p>
    <w:p>
      <w:pPr>
        <w:pStyle w:val="Normal"/>
        <w:rPr/>
      </w:pPr>
      <w:r>
        <w:rPr/>
        <w:t xml:space="preserve">Given our large number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define the phenotype using that cue. We looked at heritability for nine traits associated with 50% flowering: </w:t>
      </w:r>
      <w:commentRangeStart w:id="15"/>
      <w:r>
        <w:rPr/>
        <w:t xml:space="preserve">daylength (analogous for a critical daylength for flowering), </w:t>
      </w:r>
      <w:r>
        <w:rPr/>
      </w:r>
      <w:commentRangeEnd w:id="15"/>
      <w:r>
        <w:commentReference w:id="15"/>
      </w:r>
      <w:r>
        <w:rP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pPr>
        <w:pStyle w:val="Normal"/>
        <w:rPr>
          <w:i/>
          <w:i/>
          <w:iCs/>
        </w:rPr>
      </w:pPr>
      <w:r>
        <w:rPr>
          <w:i/>
          <w:iCs/>
        </w:rPr>
      </w:r>
    </w:p>
    <w:p>
      <w:pPr>
        <w:pStyle w:val="Normal"/>
        <w:ind w:firstLine="720"/>
        <w:rPr/>
      </w:pPr>
      <w:r>
        <w:rP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 (Kiniry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Calibri" w:cstheme="minorHAnsi"/>
        </w:rPr>
        <w:t>°N</w:t>
      </w:r>
      <w:r>
        <w:rP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rP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pPr>
        <w:pStyle w:val="Normal"/>
        <w:rPr>
          <w:i/>
          <w:i/>
          <w:iCs/>
        </w:rPr>
      </w:pPr>
      <w:r>
        <w:rPr>
          <w:i/>
          <w:iCs/>
        </w:rPr>
      </w:r>
    </w:p>
    <w:p>
      <w:pPr>
        <w:pStyle w:val="Normal"/>
        <w:rPr>
          <w:i/>
          <w:i/>
          <w:iCs/>
        </w:rPr>
      </w:pPr>
      <w:r>
        <w:rPr>
          <w:i/>
          <w:iCs/>
        </w:rPr>
        <w:t>Genome-wide association mapping</w:t>
      </w:r>
    </w:p>
    <w:p>
      <w:pPr>
        <w:pStyle w:val="Normal"/>
        <w:rPr/>
      </w:pPr>
      <w:r>
        <w:rPr/>
        <w:tab/>
        <w:t xml:space="preserve">We used the switchgrassGWAS R package </w:t>
      </w:r>
      <w:r>
        <w:rPr>
          <w:rFonts w:eastAsia="Arial Unicode MS"/>
        </w:rPr>
        <w:t>(https://github.com/Alice-MacQueen/switchgrassGWAS) to allow fast, less memory intensive GWAS on the diversity panel.</w:t>
      </w:r>
    </w:p>
    <w:p>
      <w:pPr>
        <w:pStyle w:val="Normal"/>
        <w:rPr>
          <w:i/>
          <w:i/>
          <w:iCs/>
        </w:rPr>
      </w:pPr>
      <w:r>
        <w:rPr>
          <w:i/>
          <w:iCs/>
        </w:rPr>
        <w:t>Analysis of correlated SNP effects on phenotypes at multiple sites</w:t>
      </w:r>
    </w:p>
    <w:p>
      <w:pPr>
        <w:pStyle w:val="Normal"/>
        <w:ind w:firstLine="720"/>
        <w:rPr/>
      </w:pPr>
      <w:r>
        <w:rPr>
          <w:rFonts w:eastAsia="Arial Unicode MS"/>
        </w:rPr>
        <w:t>We used the switchgrassGWAS R package to estimate and test the significance of SNP effects on phenology phenotypes measured at our common garden sites.</w:t>
      </w:r>
    </w:p>
    <w:p>
      <w:pPr>
        <w:pStyle w:val="Normal"/>
        <w:ind w:firstLine="720"/>
        <w:rPr>
          <w:rFonts w:eastAsia="Arial Unicode MS"/>
        </w:rPr>
      </w:pPr>
      <w:r>
        <w:rPr>
          <w:rFonts w:eastAsia="Arial Unicode MS"/>
        </w:rPr>
      </w:r>
    </w:p>
    <w:p>
      <w:pPr>
        <w:pStyle w:val="Normal"/>
        <w:ind w:hanging="0"/>
        <w:rPr/>
      </w:pPr>
      <w:r>
        <w:rPr>
          <w:rFonts w:eastAsia="Arial Unicode MS"/>
        </w:rPr>
        <w:t>Multivariate adaptive shrinkage</w:t>
      </w:r>
    </w:p>
    <w:p>
      <w:pPr>
        <w:pStyle w:val="Normal"/>
        <w:ind w:hanging="0"/>
        <w:rPr/>
      </w:pPr>
      <w:r>
        <w:rPr>
          <w:rFonts w:eastAsia="Arial Unicode MS"/>
        </w:rPr>
        <w:t>For multivariate adaptive shrinkage (mash), we conducted univariate GWAS at each common garden for greenup and flowering, then analyzed the allelic effects of unlinked SNPs across common garden sites for the top 19K SNPs per univariate GWAS using mash. When the same SNP set is used in multiple univariate GWAS, a subsequent mash analysis shares information on patterns of effect size and direction for SNPs across these GWAS, improving the power to detect significant, shared results.</w:t>
      </w:r>
    </w:p>
    <w:p>
      <w:pPr>
        <w:pStyle w:val="Normal"/>
        <w:ind w:hanging="0"/>
        <w:rPr/>
      </w:pPr>
      <w:r>
        <w:rPr>
          <w:rFonts w:eastAsia="Arial Unicode MS"/>
        </w:rPr>
        <w:t>We used covariance matrices based on correlations in all three genetic subgroups as hypothesis matrices in mash on each subgroup. If these covariance matrices did not capture patterns in SNP effects, there would be little loading of SNPs onto these matrices, and thus little to no change in the mash model. However, SNPs with large Bayes factors, which summarize the overall significance of a non-zero effect, which had high mixture proportions on particular environmental covariance matrices, were good candidates for environmentally-driven SNP effects. Thus, these matrices allowed us to capture possible population-specific environmental drivers in all three genetic subgroups.</w:t>
      </w:r>
    </w:p>
    <w:p>
      <w:pPr>
        <w:pStyle w:val="Normal"/>
        <w:rPr>
          <w:b/>
          <w:b/>
          <w:bCs/>
          <w:i/>
          <w:i/>
          <w:iCs/>
        </w:rPr>
      </w:pPr>
      <w:r>
        <w:rPr>
          <w:b/>
          <w:bCs/>
          <w:i/>
          <w:iCs/>
        </w:rPr>
        <w:t>Four-way cross and Quantitative Trait Locus Dataset</w:t>
      </w:r>
    </w:p>
    <w:p>
      <w:pPr>
        <w:pStyle w:val="Normal"/>
        <w:rPr>
          <w:i/>
          <w:i/>
          <w:iCs/>
        </w:rPr>
      </w:pPr>
      <w:r>
        <w:rPr>
          <w:i/>
          <w:iCs/>
        </w:rPr>
        <w:t>Creation, propagation, cultivation, and phenotyping</w:t>
      </w:r>
    </w:p>
    <w:p>
      <w:pPr>
        <w:pStyle w:val="Normal"/>
        <w:ind w:firstLine="720"/>
        <w:rPr/>
      </w:pPr>
      <w:r>
        <w:rPr>
          <w:bCs/>
        </w:rPr>
        <w:t xml:space="preserve">A four-way population (801 F2 individuals) with their grandparents and F1 hybrid parents was clonally propagated 10 times in 3.8L pots at the Brackenridge Field Laboratory, Austin, TX in 2014-2015 and transplanted to 10 common garden sites covering 17 degrees of latitude from South Texas to South Dakota in May-July of 2015. </w:t>
      </w:r>
      <w:r>
        <w:rPr/>
        <w:t>The formation of the four-way mapping population has been described previously (Milano et al 2016). Briefly,</w:t>
      </w:r>
      <w:r>
        <w:rPr>
          <w:bCs/>
        </w:rPr>
        <w:t xml:space="preserve"> 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rPr/>
        <w:t xml:space="preserve"> AP13, an early flowering Gulf individual, and WBC, a late flowering Gulf individual,</w:t>
      </w:r>
      <w:r>
        <w:rPr>
          <w:bCs/>
        </w:rPr>
        <w:t xml:space="preserve"> </w:t>
      </w:r>
      <w:r>
        <w:rP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pPr>
        <w:pStyle w:val="Normal"/>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w:r>
        <w:rPr/>
      </w:r>
      <m:oMath xmlns:m="http://schemas.openxmlformats.org/officeDocument/2006/math">
        <m:nary>
          <m:naryPr>
            <m:chr m:val="∑"/>
          </m:naryPr>
          <m:sub>
            <m:r>
              <w:rPr>
                <w:rFonts w:ascii="Cambria Math" w:hAnsi="Cambria Math"/>
              </w:rPr>
              <m:t xml:space="preserve">GR</m:t>
            </m:r>
            <m:r>
              <w:rPr>
                <w:rFonts w:ascii="Cambria Math" w:hAnsi="Cambria Math"/>
              </w:rPr>
              <m:t xml:space="preserve">50</m:t>
            </m:r>
          </m:sub>
          <m:sup>
            <m:r>
              <w:rPr>
                <w:rFonts w:ascii="Cambria Math" w:hAnsi="Cambria Math"/>
              </w:rPr>
              <m:t xml:space="preserve">FL</m:t>
            </m:r>
            <m:r>
              <w:rPr>
                <w:rFonts w:ascii="Cambria Math" w:hAnsi="Cambria Math"/>
              </w:rPr>
              <m:t xml:space="preserve">50</m:t>
            </m:r>
          </m:sup>
          <m:e>
            <m:r>
              <w:rPr>
                <w:rFonts w:ascii="Cambria Math" w:hAnsi="Cambria Math"/>
              </w:rPr>
              <m:t xml:space="preserve">max</m:t>
            </m:r>
            <m:d>
              <m:dPr>
                <m:begChr m:val="("/>
                <m:endChr m:val=")"/>
              </m:dPr>
              <m:e>
                <m:sSub>
                  <m:e>
                    <m:r>
                      <w:rPr>
                        <w:rFonts w:ascii="Cambria Math" w:hAnsi="Cambria Math"/>
                      </w:rPr>
                      <m:t xml:space="preserve">T</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base</m:t>
                    </m:r>
                  </m:sub>
                </m:sSub>
                <m:r>
                  <w:rPr>
                    <w:rFonts w:ascii="Cambria Math" w:hAnsi="Cambria Math"/>
                  </w:rPr>
                  <m:t xml:space="preserve">,</m:t>
                </m:r>
                <m:r>
                  <w:rPr>
                    <w:rFonts w:ascii="Cambria Math" w:hAnsi="Cambria Math"/>
                  </w:rPr>
                  <m:t xml:space="preserve">0</m:t>
                </m:r>
              </m:e>
            </m:d>
          </m:e>
        </m:nary>
      </m:oMath>
      <w:r>
        <w:rPr>
          <w:rFonts w:eastAsia="" w:eastAsiaTheme="minorEastAsia"/>
          <w:bCs/>
        </w:rPr>
        <w:t>, where T</w:t>
      </w:r>
      <w:r>
        <w:rPr>
          <w:rFonts w:eastAsia="" w:eastAsiaTheme="minorEastAsia"/>
          <w:bCs/>
          <w:vertAlign w:val="subscript"/>
        </w:rPr>
        <w:t>mean</w:t>
      </w:r>
      <w:r>
        <w:rPr>
          <w:rFonts w:eastAsia="" w:eastAsiaTheme="minorEastAsia"/>
          <w:bCs/>
        </w:rPr>
        <w:t xml:space="preserve"> is the daily average temperature, T</w:t>
      </w:r>
      <w:r>
        <w:rPr>
          <w:rFonts w:eastAsia="" w:eastAsiaTheme="minorEastAsia"/>
          <w:bCs/>
          <w:vertAlign w:val="subscript"/>
        </w:rPr>
        <w:t>base</w:t>
      </w:r>
      <w:r>
        <w:rPr>
          <w:rFonts w:eastAsia="" w:eastAsiaTheme="minorEastAsia"/>
          <w:bCs/>
        </w:rPr>
        <w:t xml:space="preserve"> is the base temperature </w:t>
      </w:r>
      <w:r>
        <w:rPr/>
        <w:t xml:space="preserve">of 12 </w:t>
      </w:r>
      <w:r>
        <w:rPr>
          <w:rFonts w:cs="Calibri" w:cstheme="minorHAnsi"/>
        </w:rPr>
        <w:t>°</w:t>
      </w:r>
      <w:r>
        <w:rPr/>
        <w:t>C for switchgrass (Kiniry et al 2005, Behrman 2013)</w:t>
      </w:r>
      <w:r>
        <w:rPr>
          <w:bCs/>
        </w:rPr>
        <w:t xml:space="preserve">. On a specific day, if </w:t>
      </w:r>
      <w:r>
        <w:rPr>
          <w:rFonts w:eastAsia="" w:eastAsiaTheme="minorEastAsia"/>
          <w:bCs/>
        </w:rPr>
        <w:t>T</w:t>
      </w:r>
      <w:r>
        <w:rPr>
          <w:rFonts w:eastAsia="" w:eastAsiaTheme="minorEastAsia"/>
          <w:bCs/>
          <w:vertAlign w:val="subscript"/>
        </w:rPr>
        <w:t>mean</w:t>
      </w:r>
      <w:r>
        <w:rPr>
          <w:bCs/>
        </w:rPr>
        <w:t xml:space="preserve"> is less than </w:t>
      </w:r>
      <w:r>
        <w:rPr>
          <w:rFonts w:eastAsia="" w:eastAsiaTheme="minorEastAsia"/>
          <w:bCs/>
        </w:rPr>
        <w:t>T</w:t>
      </w:r>
      <w:r>
        <w:rPr>
          <w:rFonts w:eastAsia="" w:eastAsiaTheme="minorEastAsia"/>
          <w:bCs/>
          <w:vertAlign w:val="subscript"/>
        </w:rPr>
        <w:t>base</w:t>
      </w:r>
      <w:r>
        <w:rPr>
          <w:bCs/>
        </w:rPr>
        <w:t xml:space="preserve">, the GDD for that day is 0; if </w:t>
      </w:r>
      <w:r>
        <w:rPr>
          <w:rFonts w:eastAsia="" w:eastAsiaTheme="minorEastAsia"/>
          <w:bCs/>
        </w:rPr>
        <w:t>T</w:t>
      </w:r>
      <w:r>
        <w:rPr>
          <w:rFonts w:eastAsia="" w:eastAsiaTheme="minorEastAsia"/>
          <w:bCs/>
          <w:vertAlign w:val="subscript"/>
        </w:rPr>
        <w:t>mean</w:t>
      </w:r>
      <w:r>
        <w:rPr>
          <w:bCs/>
        </w:rPr>
        <w:t xml:space="preserve"> is bigger than </w:t>
      </w:r>
      <w:r>
        <w:rPr>
          <w:rFonts w:eastAsia="" w:eastAsiaTheme="minorEastAsia"/>
          <w:bCs/>
        </w:rPr>
        <w:t>T</w:t>
      </w:r>
      <w:r>
        <w:rPr>
          <w:rFonts w:eastAsia="" w:eastAsiaTheme="minorEastAsia"/>
          <w:bCs/>
          <w:vertAlign w:val="subscript"/>
        </w:rPr>
        <w:t>base</w:t>
      </w:r>
      <w:r>
        <w:rPr>
          <w:bCs/>
        </w:rPr>
        <w:t xml:space="preserve">, the GDD for that day is the difference between </w:t>
      </w:r>
      <w:r>
        <w:rPr>
          <w:rFonts w:eastAsia="" w:eastAsiaTheme="minorEastAsia"/>
          <w:bCs/>
        </w:rPr>
        <w:t>T</w:t>
      </w:r>
      <w:r>
        <w:rPr>
          <w:rFonts w:eastAsia="" w:eastAsiaTheme="minorEastAsia"/>
          <w:bCs/>
          <w:vertAlign w:val="subscript"/>
        </w:rPr>
        <w:t>mean</w:t>
      </w:r>
      <w:r>
        <w:rPr>
          <w:bCs/>
        </w:rPr>
        <w:t xml:space="preserve"> and </w:t>
      </w:r>
      <w:r>
        <w:rPr>
          <w:rFonts w:eastAsia="" w:eastAsiaTheme="minorEastAsia"/>
          <w:bCs/>
        </w:rPr>
        <w:t>T</w:t>
      </w:r>
      <w:r>
        <w:rPr>
          <w:rFonts w:eastAsia=""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pPr>
        <w:pStyle w:val="Normal"/>
        <w:rPr>
          <w:i/>
          <w:i/>
          <w:iCs/>
        </w:rPr>
      </w:pPr>
      <w:r>
        <w:rPr>
          <w:i/>
          <w:iCs/>
        </w:rPr>
        <w:t>Sequencing and QTL mapping</w:t>
      </w:r>
    </w:p>
    <w:p>
      <w:pPr>
        <w:pStyle w:val="Normal"/>
        <w:rPr/>
      </w:pPr>
      <w:r>
        <w:rPr/>
        <w:tab/>
        <w:t xml:space="preserve">Illumina fragment paired end libraries, representing each of the four grandparents (A: AP13, B: DAC; C: WBC; D: VS16) were aligned to the </w:t>
      </w:r>
      <w:r>
        <w:rPr>
          <w:i/>
        </w:rPr>
        <w:t>Panicum virgatum</w:t>
      </w:r>
      <w:r>
        <w:rPr/>
        <w:t xml:space="preserve"> reference genome v5) with bwa </w:t>
      </w:r>
      <w:r>
        <w:rPr>
          <w:i/>
        </w:rPr>
        <w:t>mem</w:t>
      </w:r>
      <w:r>
        <w:rPr/>
        <w:t xml:space="preserve"> </w:t>
      </w:r>
      <w:r>
        <w:fldChar w:fldCharType="begin"/>
      </w:r>
      <w:r>
        <w:rPr/>
        <w:instrText>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r>
      <w:r>
        <w:rPr/>
        <w:fldChar w:fldCharType="separate"/>
      </w:r>
      <w:r>
        <w:rPr/>
        <w:t>(Li and Durbin 2009)</w:t>
      </w:r>
      <w:r>
        <w:rPr/>
      </w:r>
      <w:r>
        <w:rPr/>
        <w:fldChar w:fldCharType="end"/>
      </w:r>
      <w:r>
        <w:rPr/>
        <w:t xml:space="preserve">. Details on the genetic map construction, map polishing and fine-scale reordering can be accessed on </w:t>
      </w:r>
      <w:hyperlink r:id="rId5">
        <w:r>
          <w:rPr>
            <w:rStyle w:val="InternetLink"/>
          </w:rPr>
          <w:t>https://datadryad.org/stash/dataset/doi:10.5061/dryad.ghx3ffbjv</w:t>
        </w:r>
      </w:hyperlink>
      <w:r>
        <w:rPr/>
        <w:t>.</w:t>
      </w:r>
    </w:p>
    <w:p>
      <w:pPr>
        <w:pStyle w:val="Normal"/>
        <w:spacing w:lineRule="auto" w:line="240"/>
        <w:rPr>
          <w:bCs/>
        </w:rPr>
      </w:pPr>
      <w:r>
        <w:rPr>
          <w:bCs/>
        </w:rPr>
        <w:t xml:space="preserve">Narrow-sense heritability (h2) for each phenotype (GR50, FL50, GDD) at each field site was estimated using the additive kinship matrix based on marker genotypic information. The process was accomplished via the ‘sommer’ package (Covarrubias-Pazaran, 2020) in R (2020). Briefly, we used a multivariate mixed model (mmer) that takes the kinship matrix and other random incidence matrices to estimate the variance components for each phenotype at each field, and calculates h2 as the proportion of additive genetic variance to the total variance. </w:t>
      </w:r>
    </w:p>
    <w:p>
      <w:pPr>
        <w:pStyle w:val="Normal"/>
        <w:spacing w:lineRule="auto" w:line="240" w:before="0" w:after="0"/>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Calibri" w:cstheme="minorHAnsi"/>
          <w:bCs/>
        </w:rPr>
        <w:t>µ</w:t>
      </w:r>
      <w:r>
        <w:rPr>
          <w:bCs/>
        </w:rPr>
        <w:t xml:space="preserve"> + QTL + E + QTL x E + kinship + e, where </w:t>
      </w:r>
      <w:r>
        <w:rPr>
          <w:rFonts w:cs="Calibri" w:cstheme="minorHAnsi"/>
          <w:bCs/>
        </w:rPr>
        <w:t>µ</w:t>
      </w:r>
      <w:r>
        <w:rPr>
          <w:bCs/>
        </w:rPr>
        <w:t xml:space="preserve"> is the population mean, QTL is the marker genetic effect (i.e., kinship matrix), E is the environmental effects (i.e., field sites), QTL x E is the interaction between marker genetic and environmental effects, kinship corresponds to the background polygenic variation,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pPr>
        <w:pStyle w:val="Normal"/>
        <w:rPr/>
      </w:pPr>
      <w:r>
        <w:rPr/>
      </w:r>
    </w:p>
    <w:p>
      <w:pPr>
        <w:pStyle w:val="Normal"/>
        <w:rPr>
          <w:b/>
          <w:b/>
          <w:bCs/>
          <w:i/>
          <w:i/>
          <w:iCs/>
        </w:rPr>
      </w:pPr>
      <w:r>
        <w:rPr>
          <w:b/>
          <w:bCs/>
          <w:i/>
          <w:iCs/>
        </w:rPr>
        <w:t>Data availability statement</w:t>
      </w:r>
    </w:p>
    <w:p>
      <w:pPr>
        <w:pStyle w:val="Normal"/>
        <w:rPr/>
      </w:pPr>
      <w:r>
        <w:rPr/>
      </w:r>
    </w:p>
    <w:p>
      <w:pPr>
        <w:pStyle w:val="Normal"/>
        <w:rPr/>
      </w:pPr>
      <w:r>
        <w:br w:type="column"/>
      </w:r>
      <w:r>
        <w:rPr>
          <w:b/>
          <w:bCs/>
        </w:rPr>
        <w:t>References</w:t>
      </w:r>
    </w:p>
    <w:p>
      <w:pPr>
        <w:pStyle w:val="EndNoteBibliography"/>
        <w:rPr/>
      </w:pPr>
      <w:r>
        <w:fldChar w:fldCharType="begin"/>
      </w:r>
      <w:r>
        <w:rPr/>
        <w:instrText>ADDIN EN.REFLIST</w:instrText>
      </w:r>
      <w:r>
        <w:rPr/>
      </w:r>
      <w:r>
        <w:rPr/>
        <w:fldChar w:fldCharType="separate"/>
      </w:r>
      <w:r>
        <w:rPr/>
        <w:t>Parrish DJ, Fike JH. 2005. The Biology and Agronomy of Switchgrass for Biofuels. Critical Reviews in Plant Sciences 24:423-459.</w:t>
      </w:r>
    </w:p>
    <w:p>
      <w:pPr>
        <w:pStyle w:val="Normal"/>
        <w:rPr>
          <w:vanish/>
        </w:rPr>
      </w:pPr>
      <w:r>
        <w:rPr/>
      </w:r>
      <w:r>
        <w:rPr/>
        <w:fldChar w:fldCharType="end"/>
      </w:r>
    </w:p>
    <w:p>
      <w:pPr>
        <w:pStyle w:val="Normal"/>
        <w:rPr>
          <w:vanish/>
        </w:rPr>
      </w:pPr>
      <w:r>
        <w:rPr/>
        <w:t xml:space="preserve"> </w:t>
      </w:r>
    </w:p>
    <w:p>
      <w:pPr>
        <w:pStyle w:val="Normal"/>
        <w:rPr/>
      </w:pPr>
      <w:r>
        <w:br w:type="column"/>
      </w:r>
      <w:r>
        <w:rPr/>
        <w:t>Tables &amp; Figures, Maybe Supplementary</w:t>
      </w:r>
    </w:p>
    <w:p>
      <w:pPr>
        <w:pStyle w:val="Normal"/>
        <w:rPr/>
      </w:pPr>
      <w:r>
        <w:rPr/>
      </w:r>
    </w:p>
    <w:p>
      <w:pPr>
        <w:pStyle w:val="Normal"/>
        <w:rPr/>
      </w:pPr>
      <w:r>
        <w:rPr>
          <w:b/>
          <w:bCs/>
        </w:rPr>
        <w:t>Supplementary Figure X.</w:t>
      </w:r>
      <w:r>
        <w:rPr/>
        <w:t xml:space="preserve"> Average flowering date from 2016 – 2019 for the four parents of the fourway cross, compared to the 2019 distribution of flowering date for the Gulf and Midwest subpopulations. The two Midwest parents are DAC and VS16, and the two Gulf parents are AP13 and WBC. Bold yellow line indicates the summer solstice.</w:t>
      </w:r>
    </w:p>
    <w:p>
      <w:pPr>
        <w:pStyle w:val="Normal"/>
        <w:rPr/>
      </w:pPr>
      <w:r>
        <w:rPr/>
        <w:drawing>
          <wp:inline distT="0" distB="0" distL="0" distR="0">
            <wp:extent cx="5486400" cy="3392170"/>
            <wp:effectExtent l="0" t="0" r="0" b="0"/>
            <wp:docPr id="4"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map&#10;&#10;Description automatically generated"/>
                    <pic:cNvPicPr>
                      <a:picLocks noChangeAspect="1" noChangeArrowheads="1"/>
                    </pic:cNvPicPr>
                  </pic:nvPicPr>
                  <pic:blipFill>
                    <a:blip r:embed="rId6"/>
                    <a:stretch>
                      <a:fillRect/>
                    </a:stretch>
                  </pic:blipFill>
                  <pic:spPr bwMode="auto">
                    <a:xfrm>
                      <a:off x="0" y="0"/>
                      <a:ext cx="5486400" cy="3392170"/>
                    </a:xfrm>
                    <a:prstGeom prst="rect">
                      <a:avLst/>
                    </a:prstGeom>
                  </pic:spPr>
                </pic:pic>
              </a:graphicData>
            </a:graphic>
          </wp:inline>
        </w:drawing>
      </w:r>
    </w:p>
    <w:p>
      <w:pPr>
        <w:pStyle w:val="Normal"/>
        <w:ind w:firstLine="720"/>
        <w:rPr/>
      </w:pPr>
      <w:r>
        <w:rPr/>
      </w:r>
    </w:p>
    <w:p>
      <w:pPr>
        <w:pStyle w:val="Normal"/>
        <w:ind w:firstLine="720"/>
        <w:rPr/>
      </w:pPr>
      <w:r>
        <w:rPr/>
        <w:commentReference w:id="16"/>
      </w:r>
    </w:p>
    <w:p>
      <w:pPr>
        <w:pStyle w:val="Normal"/>
        <w:rPr/>
      </w:pPr>
      <w:r>
        <w:rPr/>
      </w:r>
    </w:p>
    <w:p>
      <w:pPr>
        <w:pStyle w:val="Normal"/>
        <w:widowControl/>
        <w:bidi w:val="0"/>
        <w:spacing w:lineRule="auto" w:line="259" w:before="0" w:after="160"/>
        <w:jc w:val="left"/>
        <w:rPr/>
      </w:pPr>
      <w:r>
        <w:fldChar w:fldCharType="begin"/>
      </w:r>
      <w:r>
        <w:rPr/>
        <w:instrText>ADDIN</w:instrText>
      </w:r>
      <w:r>
        <w:rPr/>
      </w:r>
      <w:r>
        <w:rPr/>
        <w:fldChar w:fldCharType="separate"/>
      </w:r>
      <w:r>
        <w:rPr/>
      </w:r>
      <w:r>
        <w:rPr/>
      </w:r>
      <w:r>
        <w:rPr/>
        <w:fldChar w:fldCharType="end"/>
      </w:r>
    </w:p>
    <w:sectPr>
      <w:headerReference w:type="default" r:id="rId7"/>
      <w:footerReference w:type="default" r:id="rId8"/>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enger, Thomas E" w:date="2020-10-12T10:39:00Z" w:initials="JTE">
    <w:p>
      <w:r>
        <w:rPr>
          <w:rFonts w:ascii="Liberation Serif" w:hAnsi="Liberation Serif" w:eastAsia="DejaVu Sans" w:cs="DejaVu Sans"/>
          <w:sz w:val="24"/>
          <w:szCs w:val="24"/>
          <w:lang w:val="en-US" w:eastAsia="en-US" w:bidi="en-US"/>
        </w:rPr>
        <w:t>NP usually has a bullet point abstract</w:t>
      </w:r>
    </w:p>
  </w:comment>
  <w:comment w:id="1" w:author="Juenger, Thomas E" w:date="2020-10-12T10:44:00Z" w:initials="JTE">
    <w:p>
      <w:r>
        <w:rPr>
          <w:rFonts w:ascii="Liberation Serif" w:hAnsi="Liberation Serif" w:eastAsia="DejaVu Sans" w:cs="DejaVu Sans"/>
          <w:sz w:val="24"/>
          <w:szCs w:val="24"/>
          <w:lang w:val="en-US" w:eastAsia="en-US" w:bidi="en-US"/>
        </w:rPr>
        <w:t>I’d add some information about the degree of GxE, maybe the nature of GxE, and what we think we can say about the drivers of the GxE……but of course probably too early to worry much abstract as still sorting out results</w:t>
      </w:r>
    </w:p>
  </w:comment>
  <w:comment w:id="2" w:author="Juenger, Thomas E" w:date="2020-10-12T10:58:00Z" w:initials="JTE">
    <w:p>
      <w:r>
        <w:rPr>
          <w:rFonts w:ascii="Liberation Serif" w:hAnsi="Liberation Serif" w:eastAsia="DejaVu Sans" w:cs="DejaVu Sans"/>
          <w:sz w:val="24"/>
          <w:szCs w:val="24"/>
          <w:lang w:val="en-US" w:eastAsia="en-US" w:bidi="en-US"/>
        </w:rPr>
        <w:t xml:space="preserve">I like this paragraph – but, I worry a bit that it leaves out some of the flowering time literature and work in crop grasses – lots of information in maize and sorghum – including studies of local adaptation and detailed work on photoperiod.  </w:t>
      </w:r>
    </w:p>
    <w:p>
      <w:r>
        <w:rPr>
          <w:rFonts w:ascii="Liberation Serif" w:hAnsi="Liberation Serif" w:eastAsia="DejaVu Sans" w:cs="DejaVu Sans"/>
          <w:sz w:val="24"/>
          <w:szCs w:val="24"/>
          <w:lang w:val="en-US" w:eastAsia="en-US" w:bidi="en-US"/>
        </w:rPr>
      </w:r>
    </w:p>
    <w:p>
      <w:hyperlink r:id="rId1">
        <w:r>
          <w:rPr>
            <w:rFonts w:ascii="Liberation Serif" w:hAnsi="Liberation Serif" w:eastAsia="DejaVu Sans" w:cs="DejaVu Sans"/>
            <w:sz w:val="24"/>
            <w:szCs w:val="24"/>
            <w:lang w:val="en-US" w:eastAsia="en-US" w:bidi="en-US"/>
          </w:rPr>
          <w:t>https://www.nature.com/articles/ng.3784</w:t>
        </w:r>
      </w:hyperlink>
    </w:p>
    <w:p>
      <w:r>
        <w:rPr>
          <w:rFonts w:ascii="Liberation Serif" w:hAnsi="Liberation Serif" w:eastAsia="DejaVu Sans" w:cs="DejaVu Sans"/>
          <w:sz w:val="24"/>
          <w:szCs w:val="24"/>
          <w:lang w:val="en-US" w:eastAsia="en-US" w:bidi="en-US"/>
        </w:rPr>
      </w:r>
    </w:p>
    <w:p>
      <w:hyperlink r:id="rId2">
        <w:r>
          <w:rPr>
            <w:rFonts w:ascii="Liberation Serif" w:hAnsi="Liberation Serif" w:eastAsia="DejaVu Sans" w:cs="DejaVu Sans"/>
            <w:sz w:val="24"/>
            <w:szCs w:val="24"/>
            <w:lang w:val="en-US" w:eastAsia="en-US" w:bidi="en-US"/>
          </w:rPr>
          <w:t>https://link.springer.com/article/10.1007/s00122-013-2059-z</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https://www.pnas.org/content/108/39/16469</w:t>
      </w:r>
    </w:p>
    <w:p>
      <w:r>
        <w:rPr>
          <w:rFonts w:ascii="Liberation Serif" w:hAnsi="Liberation Serif" w:eastAsia="DejaVu Sans" w:cs="DejaVu Sans"/>
          <w:sz w:val="24"/>
          <w:szCs w:val="24"/>
          <w:lang w:val="en-US" w:eastAsia="en-US" w:bidi="en-US"/>
        </w:rPr>
      </w:r>
    </w:p>
  </w:comment>
  <w:comment w:id="3" w:author="Juenger, Thomas E" w:date="2020-10-12T12:15:00Z" w:initials="JTE">
    <w:p>
      <w:r>
        <w:rPr>
          <w:rFonts w:ascii="Liberation Serif" w:hAnsi="Liberation Serif" w:eastAsia="DejaVu Sans" w:cs="DejaVu Sans"/>
          <w:sz w:val="24"/>
          <w:szCs w:val="24"/>
          <w:lang w:val="en-US" w:eastAsia="en-US" w:bidi="en-US"/>
        </w:rP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4" w:author="Juenger, Thomas E" w:date="2020-10-12T12:12:00Z" w:initials="JTE">
    <w:p>
      <w:r>
        <w:rPr>
          <w:rFonts w:ascii="Liberation Serif" w:hAnsi="Liberation Serif" w:eastAsia="DejaVu Sans" w:cs="DejaVu Sans"/>
          <w:sz w:val="24"/>
          <w:szCs w:val="24"/>
          <w:lang w:val="en-US" w:eastAsia="en-US" w:bidi="en-US"/>
        </w:rPr>
        <w:t>Natural maize is outbred and highly variable….so maybe a relevant example……</w:t>
      </w:r>
    </w:p>
  </w:comment>
  <w:comment w:id="5" w:author="Juenger, Thomas E" w:date="2020-10-12T12:20:00Z" w:initials="JTE">
    <w:p>
      <w:r>
        <w:rPr>
          <w:rFonts w:ascii="Liberation Serif" w:hAnsi="Liberation Serif" w:eastAsia="DejaVu Sans" w:cs="DejaVu Sans"/>
          <w:sz w:val="24"/>
          <w:szCs w:val="24"/>
          <w:lang w:val="en-US" w:eastAsia="en-US" w:bidi="en-US"/>
        </w:rPr>
        <w:t>Might cite some of the classic McMillan literature on switchgrass flowering…..although it’s pretty messy stuff….I also think there are papers looking at photoperiod……and even some mapping……..</w:t>
      </w:r>
    </w:p>
    <w:p>
      <w:r>
        <w:rPr>
          <w:rFonts w:ascii="Liberation Serif" w:hAnsi="Liberation Serif" w:eastAsia="DejaVu Sans" w:cs="DejaVu Sans"/>
          <w:sz w:val="24"/>
          <w:szCs w:val="24"/>
          <w:lang w:val="en-US" w:eastAsia="en-US" w:bidi="en-US"/>
        </w:rPr>
      </w:r>
    </w:p>
    <w:p>
      <w:hyperlink r:id="rId3">
        <w:r>
          <w:rPr>
            <w:rFonts w:ascii="Liberation Serif" w:hAnsi="Liberation Serif" w:eastAsia="DejaVu Sans" w:cs="DejaVu Sans"/>
            <w:sz w:val="24"/>
            <w:szCs w:val="24"/>
            <w:lang w:val="en-US" w:eastAsia="en-US" w:bidi="en-US"/>
          </w:rPr>
          <w:t>https://www.frontiersin.org/articles/10.3389/fpls.2018.01250/full</w:t>
        </w:r>
      </w:hyperlink>
    </w:p>
    <w:p>
      <w:r>
        <w:rPr>
          <w:rFonts w:ascii="Liberation Serif" w:hAnsi="Liberation Serif" w:eastAsia="DejaVu Sans" w:cs="DejaVu Sans"/>
          <w:sz w:val="24"/>
          <w:szCs w:val="24"/>
          <w:lang w:val="en-US" w:eastAsia="en-US" w:bidi="en-US"/>
        </w:rPr>
      </w:r>
    </w:p>
    <w:p>
      <w:hyperlink r:id="rId4">
        <w:r>
          <w:rPr>
            <w:rFonts w:ascii="Liberation Serif" w:hAnsi="Liberation Serif" w:eastAsia="DejaVu Sans" w:cs="DejaVu Sans"/>
            <w:sz w:val="24"/>
            <w:szCs w:val="24"/>
            <w:lang w:val="en-US" w:eastAsia="en-US" w:bidi="en-US"/>
          </w:rPr>
          <w:t>https://pubmed.ncbi.nlm.nih.gov/27443672/</w:t>
        </w:r>
      </w:hyperlink>
    </w:p>
    <w:p>
      <w:r>
        <w:rPr>
          <w:rFonts w:ascii="Liberation Serif" w:hAnsi="Liberation Serif" w:eastAsia="DejaVu Sans" w:cs="DejaVu Sans"/>
          <w:sz w:val="24"/>
          <w:szCs w:val="24"/>
          <w:lang w:val="en-US" w:eastAsia="en-US" w:bidi="en-US"/>
        </w:rPr>
      </w:r>
    </w:p>
    <w:p>
      <w:hyperlink r:id="rId5">
        <w:r>
          <w:rPr>
            <w:rFonts w:ascii="Liberation Serif" w:hAnsi="Liberation Serif" w:eastAsia="DejaVu Sans" w:cs="DejaVu Sans"/>
            <w:sz w:val="24"/>
            <w:szCs w:val="24"/>
            <w:lang w:val="en-US" w:eastAsia="en-US" w:bidi="en-US"/>
          </w:rPr>
          <w:t>https://acsess.onlinelibrary.wiley.com/doi/full/10.3835/plantgenome2017.10.0093</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others…..</w:t>
      </w:r>
    </w:p>
  </w:comment>
  <w:comment w:id="6" w:author="Juenger, Thomas E" w:date="2020-10-12T12:32:00Z" w:initials="JTE">
    <w:p>
      <w:r>
        <w:rPr>
          <w:rFonts w:ascii="Liberation Serif" w:hAnsi="Liberation Serif" w:eastAsia="DejaVu Sans" w:cs="DejaVu Sans"/>
          <w:sz w:val="24"/>
          <w:szCs w:val="24"/>
          <w:lang w:val="en-US" w:eastAsia="en-US" w:bidi="en-US"/>
        </w:rPr>
        <w:t>This is a solid introduction…..might need some tweaking to foreshadow major results….but otherwise reads well</w:t>
      </w:r>
    </w:p>
  </w:comment>
  <w:comment w:id="7" w:author="Juenger, Thomas E" w:date="2020-10-12T12:29:00Z" w:initials="JTE">
    <w:p>
      <w:r>
        <w:rPr>
          <w:rFonts w:ascii="Liberation Serif" w:hAnsi="Liberation Serif" w:eastAsia="DejaVu Sans" w:cs="DejaVu Sans"/>
          <w:sz w:val="24"/>
          <w:szCs w:val="24"/>
          <w:lang w:val="en-US" w:eastAsia="en-US" w:bidi="en-US"/>
        </w:rPr>
        <w:t>Might need to define what we mean by these phenotypes…..especially for flowering….as often many different features of phenology called flowering time</w:t>
      </w:r>
    </w:p>
  </w:comment>
  <w:comment w:id="8" w:author="Juenger, Thomas E" w:date="2020-10-12T12:35:00Z" w:initials="JTE">
    <w:p>
      <w:r>
        <w:rPr>
          <w:rFonts w:ascii="Liberation Serif" w:hAnsi="Liberation Serif" w:eastAsia="DejaVu Sans" w:cs="DejaVu Sans"/>
          <w:sz w:val="24"/>
          <w:szCs w:val="24"/>
          <w:lang w:val="en-US" w:eastAsia="en-US" w:bidi="en-US"/>
        </w:rPr>
        <w:t>Great figure]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10" w:author="Juenger, Thomas E" w:date="2020-10-12T14:58:00Z" w:initials="JTE">
    <w:p>
      <w:r>
        <w:rPr>
          <w:rFonts w:ascii="Liberation Serif" w:hAnsi="Liberation Serif" w:eastAsia="DejaVu Sans" w:cs="DejaVu Sans"/>
          <w:sz w:val="24"/>
          <w:szCs w:val="24"/>
          <w:lang w:val="en-US" w:eastAsia="en-US" w:bidi="en-US"/>
        </w:rPr>
        <w:t>Milano et al. 2016 is the primary citation for the 4-way</w:t>
      </w:r>
    </w:p>
  </w:comment>
  <w:comment w:id="9" w:author="Juenger, Thomas E" w:date="2020-10-12T16:59:00Z" w:initials="JTE">
    <w:p>
      <w:r>
        <w:rPr>
          <w:rFonts w:ascii="Liberation Serif" w:hAnsi="Liberation Serif" w:eastAsia="DejaVu Sans" w:cs="DejaVu Sans"/>
          <w:sz w:val="24"/>
          <w:szCs w:val="24"/>
          <w:lang w:val="en-US" w:eastAsia="en-US" w:bidi="en-US"/>
        </w:rPr>
        <w:t>Below you talk about contrasting AxB and CxD alleles and whatnot – for those not familiar with outbred QTL mapping….this might be confusing.  We might need to add some text at some point describing the segregation of alleles in the cross and how we can contrast additive effects………I think Milano describes this – as well as some of the other published 4-way studies</w:t>
      </w:r>
    </w:p>
  </w:comment>
  <w:comment w:id="11" w:author="Juenger, Thomas E" w:date="2020-10-12T15:47:00Z" w:initials="JTE">
    <w:p>
      <w:r>
        <w:rPr>
          <w:rFonts w:ascii="Liberation Serif" w:hAnsi="Liberation Serif" w:eastAsia="DejaVu Sans" w:cs="DejaVu Sans"/>
          <w:sz w:val="24"/>
          <w:szCs w:val="24"/>
          <w:lang w:val="en-US" w:eastAsia="en-US" w:bidi="en-US"/>
        </w:rPr>
        <w:t>I’m always thrown by the use of the term dominance in genetic studies – I don’t think you mean “dominance” in terms of allelic interaction here…..but it could be confused as such.  Maybe pick another term….maybe say” predominant” flowering time queues</w:t>
      </w:r>
    </w:p>
  </w:comment>
  <w:comment w:id="12" w:author="Juenger, Thomas E" w:date="2020-10-12T15:52:00Z" w:initials="JTE">
    <w:p>
      <w:r>
        <w:rPr>
          <w:rFonts w:ascii="Liberation Serif" w:hAnsi="Liberation Serif" w:eastAsia="DejaVu Sans" w:cs="DejaVu Sans"/>
          <w:sz w:val="24"/>
          <w:szCs w:val="24"/>
          <w:lang w:val="en-US" w:eastAsia="en-US" w:bidi="en-US"/>
        </w:rPr>
        <w:t>This is a pretty interesting result – and something that I think many have noticed – the progenies of the 4-way tend to all look more upland-like – this suggest general dominance of upland alleles……</w:t>
      </w:r>
    </w:p>
  </w:comment>
  <w:comment w:id="13" w:author="Juenger, Thomas E" w:date="2020-10-12T17:05:00Z" w:initials="JTE">
    <w:p>
      <w:r>
        <w:rPr>
          <w:rFonts w:ascii="Liberation Serif" w:hAnsi="Liberation Serif" w:eastAsia="DejaVu Sans" w:cs="DejaVu Sans"/>
          <w:sz w:val="24"/>
          <w:szCs w:val="24"/>
          <w:lang w:val="en-US" w:eastAsia="en-US" w:bidi="en-US"/>
        </w:rPr>
        <w:t>This isn’t clear to me – do you mean comparing the two crosses?</w:t>
      </w:r>
    </w:p>
  </w:comment>
  <w:comment w:id="14" w:author="Juenger, Thomas E" w:date="2020-10-12T17:04:00Z" w:initials="JTE">
    <w:p>
      <w:r>
        <w:rPr>
          <w:rFonts w:ascii="Liberation Serif" w:hAnsi="Liberation Serif" w:eastAsia="DejaVu Sans" w:cs="DejaVu Sans"/>
          <w:sz w:val="24"/>
          <w:szCs w:val="24"/>
          <w:lang w:val="en-US" w:eastAsia="en-US" w:bidi="en-US"/>
        </w:rPr>
        <w:t>I’m not entirely sure what this means – in the sense that a QTL effect is always contrasting alleles – it’s a relative thing.  So, in this case, is it A or B that is accelerating flowering?  In some cases it might be better to talk about upland/lowland alleles rather than AxB……as it might be tie into the biology of the system</w:t>
      </w:r>
    </w:p>
  </w:comment>
  <w:comment w:id="15" w:author="Juenger, Thomas E" w:date="2020-10-12T17:41:00Z" w:initials="JTE">
    <w:p>
      <w:r>
        <w:rPr>
          <w:rFonts w:ascii="Liberation Serif" w:hAnsi="Liberation Serif" w:eastAsia="DejaVu Sans" w:cs="DejaVu Sans"/>
          <w:sz w:val="24"/>
          <w:szCs w:val="24"/>
          <w:lang w:val="en-US" w:eastAsia="en-US" w:bidi="en-US"/>
        </w:rPr>
        <w:t>I’m not sure I know which daylength you picked – daylength at day of flowering? Or some other metric?  We certainly don’t know critical daylength from our experiments…</w:t>
      </w:r>
    </w:p>
  </w:comment>
  <w:comment w:id="16" w:author="Juenger, Thomas E" w:date="2020-10-12T17:47:00Z" w:initials="JTE">
    <w:p>
      <w:r>
        <w:rPr>
          <w:rFonts w:ascii="Liberation Serif" w:hAnsi="Liberation Serif" w:eastAsia="DejaVu Sans" w:cs="DejaVu Sans"/>
          <w:sz w:val="24"/>
          <w:szCs w:val="24"/>
          <w:lang w:val="en-US" w:eastAsia="en-US" w:bidi="en-US"/>
        </w:rPr>
        <w:t>This is a bit hard to follow because the x marks are so cramped….not sure if there is a better format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Is that top representing greenup and the bottom flowering time?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Not sure I follow the violin plot – is that the GWAS? But which population?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3696639"/>
    </w:sdtPr>
    <w:sdtContent>
      <w:p>
        <w:pPr>
          <w:pStyle w:val="Footer"/>
          <w:jc w:val="center"/>
          <w:rPr/>
        </w:pPr>
        <w:r>
          <w:rPr/>
          <w:fldChar w:fldCharType="begin"/>
        </w:r>
        <w:r>
          <w:rPr/>
          <w:instrText> PAGE </w:instrText>
        </w:r>
        <w:r>
          <w:rPr/>
          <w:fldChar w:fldCharType="separate"/>
        </w:r>
        <w:r>
          <w:rPr/>
          <w:t>22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55e9"/>
    <w:rPr/>
  </w:style>
  <w:style w:type="character" w:styleId="FooterChar" w:customStyle="1">
    <w:name w:val="Footer Char"/>
    <w:basedOn w:val="DefaultParagraphFont"/>
    <w:link w:val="Footer"/>
    <w:uiPriority w:val="99"/>
    <w:qFormat/>
    <w:rsid w:val="007b55e9"/>
    <w:rPr/>
  </w:style>
  <w:style w:type="character" w:styleId="Annotationreference">
    <w:name w:val="annotation reference"/>
    <w:basedOn w:val="DefaultParagraphFont"/>
    <w:uiPriority w:val="99"/>
    <w:semiHidden/>
    <w:unhideWhenUsed/>
    <w:qFormat/>
    <w:rsid w:val="00bf7fd8"/>
    <w:rPr>
      <w:sz w:val="16"/>
      <w:szCs w:val="16"/>
    </w:rPr>
  </w:style>
  <w:style w:type="character" w:styleId="CommentTextChar" w:customStyle="1">
    <w:name w:val="Comment Text Char"/>
    <w:basedOn w:val="DefaultParagraphFont"/>
    <w:link w:val="CommentText"/>
    <w:uiPriority w:val="99"/>
    <w:semiHidden/>
    <w:qFormat/>
    <w:rsid w:val="00bf7fd8"/>
    <w:rPr>
      <w:sz w:val="20"/>
      <w:szCs w:val="20"/>
    </w:rPr>
  </w:style>
  <w:style w:type="character" w:styleId="CommentSubjectChar" w:customStyle="1">
    <w:name w:val="Comment Subject Char"/>
    <w:basedOn w:val="CommentTextChar"/>
    <w:link w:val="CommentSubject"/>
    <w:uiPriority w:val="99"/>
    <w:semiHidden/>
    <w:qFormat/>
    <w:rsid w:val="00bf7fd8"/>
    <w:rPr>
      <w:b/>
      <w:bCs/>
      <w:sz w:val="20"/>
      <w:szCs w:val="20"/>
    </w:rPr>
  </w:style>
  <w:style w:type="character" w:styleId="BalloonTextChar" w:customStyle="1">
    <w:name w:val="Balloon Text Char"/>
    <w:basedOn w:val="DefaultParagraphFont"/>
    <w:link w:val="BalloonText"/>
    <w:uiPriority w:val="99"/>
    <w:semiHidden/>
    <w:qFormat/>
    <w:rsid w:val="00bf7fd8"/>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95061c"/>
    <w:rPr>
      <w:rFonts w:ascii="Calibri" w:hAnsi="Calibri" w:cs="Calibri"/>
    </w:rPr>
  </w:style>
  <w:style w:type="character" w:styleId="EndNoteBibliographyChar" w:customStyle="1">
    <w:name w:val="EndNote Bibliography Char"/>
    <w:basedOn w:val="DefaultParagraphFont"/>
    <w:link w:val="EndNoteBibliography"/>
    <w:qFormat/>
    <w:rsid w:val="0095061c"/>
    <w:rPr>
      <w:rFonts w:ascii="Calibri" w:hAnsi="Calibri" w:cs="Calibri"/>
    </w:rPr>
  </w:style>
  <w:style w:type="character" w:styleId="Internet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qFormat/>
    <w:rsid w:val="002b26ae"/>
    <w:rPr/>
  </w:style>
  <w:style w:type="character" w:styleId="UnresolvedMention">
    <w:name w:val="Unresolved Mention"/>
    <w:basedOn w:val="DefaultParagraphFont"/>
    <w:uiPriority w:val="99"/>
    <w:semiHidden/>
    <w:unhideWhenUsed/>
    <w:qFormat/>
    <w:rsid w:val="00b75058"/>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bf7fd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f7fd8"/>
    <w:pPr/>
    <w:rPr>
      <w:b/>
      <w:bCs/>
    </w:rPr>
  </w:style>
  <w:style w:type="paragraph" w:styleId="BalloonText">
    <w:name w:val="Balloon Text"/>
    <w:basedOn w:val="Normal"/>
    <w:link w:val="BalloonTextChar"/>
    <w:uiPriority w:val="99"/>
    <w:semiHidden/>
    <w:unhideWhenUsed/>
    <w:qFormat/>
    <w:rsid w:val="00bf7fd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a5c17"/>
    <w:pPr>
      <w:spacing w:before="0" w:after="160"/>
      <w:ind w:left="720" w:hanging="0"/>
      <w:contextualSpacing/>
    </w:pPr>
    <w:rPr/>
  </w:style>
  <w:style w:type="paragraph" w:styleId="EndNoteBibliographyTitle" w:customStyle="1">
    <w:name w:val="EndNote Bibliography Title"/>
    <w:basedOn w:val="Normal"/>
    <w:link w:val="EndNoteBibliographyTitleChar"/>
    <w:qFormat/>
    <w:rsid w:val="0095061c"/>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95061c"/>
    <w:pPr>
      <w:spacing w:lineRule="auto" w:line="240"/>
    </w:pPr>
    <w:rPr>
      <w:rFonts w:ascii="Calibri" w:hAnsi="Calibri" w:cs="Calib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2">
    <w:name w:val="Grid Table 2"/>
    <w:basedOn w:val="TableNormal"/>
    <w:uiPriority w:val="47"/>
    <w:rsid w:val="006e389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comments.xml.rels><?xml version="1.0" encoding="UTF-8"?>
<Relationships xmlns="http://schemas.openxmlformats.org/package/2006/relationships"><Relationship Id="rId1" Type="http://schemas.openxmlformats.org/officeDocument/2006/relationships/hyperlink" Target="https://www.nature.com/articles/ng.3784" TargetMode="External"/><Relationship Id="rId2" Type="http://schemas.openxmlformats.org/officeDocument/2006/relationships/hyperlink" Target="https://link.springer.com/article/10.1007/s00122-013-2059-z" TargetMode="External"/><Relationship Id="rId3" Type="http://schemas.openxmlformats.org/officeDocument/2006/relationships/hyperlink" Target="https://www.frontiersin.org/articles/10.3389/fpls.2018.01250/full" TargetMode="External"/><Relationship Id="rId4" Type="http://schemas.openxmlformats.org/officeDocument/2006/relationships/hyperlink" Target="https://pubmed.ncbi.nlm.nih.gov/27443672/" TargetMode="External"/><Relationship Id="rId5" Type="http://schemas.openxmlformats.org/officeDocument/2006/relationships/hyperlink" Target="https://acsess.onlinelibrary.wiley.com/doi/full/10.3835/plantgenome2017.10.009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atadryad.org/stash/dataset/doi:10.5061/dryad.ghx3ffbjv"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Application>LibreOffice/7.0.4.2$Linux_X86_64 LibreOffice_project/00$Build-2</Application>
  <AppVersion>15.0000</AppVersion>
  <Pages>22</Pages>
  <Words>7622</Words>
  <Characters>42545</Characters>
  <CharactersWithSpaces>50083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2020-12-04T15:49:00Z</dcterms:created>
  <dc:creator>Alice MacQueen</dc:creator>
  <dc:description/>
  <dc:language>en-US</dc:language>
  <cp:lastModifiedBy/>
  <dcterms:modified xsi:type="dcterms:W3CDTF">2021-01-21T17:23:58Z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id="qZtjqJ6e"/&gt;&lt;style id="http://www.zotero.org/styles/chicago-author-date" locale="en-US" hasBibliography="1" bibliographyStyleHasBeenSet="0"/&gt;&lt;prefs&gt;&lt;pref name="fieldType" value="ReferenceMark"/&gt;&lt;p</vt:lpwstr>
  </property>
  <property fmtid="{D5CDD505-2E9C-101B-9397-08002B2CF9AE}" pid="3" name="ZOTERO_PREF_2">
    <vt:lpwstr>ref name="automaticJournalAbbreviations" value="true"/&gt;&lt;/prefs&gt;&lt;/data&gt;</vt:lpwstr>
  </property>
</Properties>
</file>