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Mixtures</w:t>
      </w:r>
      <w:r>
        <w:t xml:space="preserve"> </w:t>
      </w:r>
      <w:r>
        <w:t xml:space="preserve">of</w:t>
      </w:r>
      <w:r>
        <w:t xml:space="preserve"> </w:t>
      </w:r>
      <w:r>
        <w:t xml:space="preserve">Genotype-by-Weather</w:t>
      </w:r>
      <w:r>
        <w:t xml:space="preserve"> </w:t>
      </w:r>
      <w:r>
        <w:t xml:space="preserve">Interactions</w:t>
      </w:r>
      <w:r>
        <w:t xml:space="preserve"> </w:t>
      </w:r>
      <w:r>
        <w:t xml:space="preserve">in</w:t>
      </w:r>
      <w:r>
        <w:t xml:space="preserve"> </w:t>
      </w:r>
      <w:r>
        <w:t xml:space="preserve">Switchgrass</w:t>
      </w:r>
      <w:r>
        <w:t xml:space="preserve"> </w:t>
      </w:r>
      <w:r>
        <w:t xml:space="preserve">(Panicum</w:t>
      </w:r>
      <w:r>
        <w:t xml:space="preserve"> </w:t>
      </w:r>
      <w:r>
        <w:t xml:space="preserve">virgatum)</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both</w:t>
      </w:r>
      <w:r>
        <w:t xml:space="preserve"> </w:t>
      </w:r>
      <w:r>
        <w:t xml:space="preserve">genetic</w:t>
      </w:r>
      <w:r>
        <w:t xml:space="preserve"> </w:t>
      </w:r>
      <w:r>
        <w:t xml:space="preserve">variation</w:t>
      </w:r>
      <w:r>
        <w:t xml:space="preserve"> </w:t>
      </w:r>
      <w:r>
        <w:t xml:space="preserve">and</w:t>
      </w:r>
      <w:r>
        <w:t xml:space="preserve"> </w:t>
      </w:r>
      <w:r>
        <w:t xml:space="preserve">environmental</w:t>
      </w:r>
      <w:r>
        <w:t xml:space="preserve"> </w:t>
      </w:r>
      <w:r>
        <w:t xml:space="preserve">cues;</w:t>
      </w:r>
      <w:r>
        <w:t xml:space="preserve"> </w:t>
      </w:r>
      <w:r>
        <w:t xml:space="preserve">thus,</w:t>
      </w:r>
      <w:r>
        <w:t xml:space="preserve"> </w:t>
      </w:r>
      <w:r>
        <w:t xml:space="preserve">phenological</w:t>
      </w:r>
      <w:r>
        <w:t xml:space="preserve"> </w:t>
      </w:r>
      <w:r>
        <w:t xml:space="preserve">traits</w:t>
      </w:r>
      <w:r>
        <w:t xml:space="preserve"> </w:t>
      </w:r>
      <w:r>
        <w:t xml:space="preserve">can</w:t>
      </w:r>
      <w:r>
        <w:t xml:space="preserve"> </w:t>
      </w:r>
      <w:r>
        <w:t xml:space="preserve">have</w:t>
      </w:r>
      <w:r>
        <w:t xml:space="preserve"> </w:t>
      </w:r>
      <w:r>
        <w:t xml:space="preserve">important</w:t>
      </w:r>
      <w:r>
        <w:t xml:space="preserve"> </w:t>
      </w:r>
      <w:r>
        <w:t xml:space="preserve">genotype-by-environment</w:t>
      </w:r>
      <w:r>
        <w:t xml:space="preserve"> </w:t>
      </w:r>
      <w:r>
        <w:t xml:space="preserve">(GxE)</w:t>
      </w:r>
      <w:r>
        <w:t xml:space="preserve"> </w:t>
      </w:r>
      <w:r>
        <w:t xml:space="preserve">interactions.</w:t>
      </w:r>
      <w:r>
        <w:t xml:space="preserve"> </w:t>
      </w:r>
      <w:r>
        <w:t xml:space="preserve">Identifying</w:t>
      </w:r>
      <w:r>
        <w:t xml:space="preserve"> </w:t>
      </w:r>
      <w:r>
        <w:t xml:space="preserve">the</w:t>
      </w:r>
      <w:r>
        <w:t xml:space="preserve"> </w:t>
      </w:r>
      <w:r>
        <w:t xml:space="preserve">mixture</w:t>
      </w:r>
      <w:r>
        <w:t xml:space="preserve"> </w:t>
      </w:r>
      <w:r>
        <w:t xml:space="preserve">and</w:t>
      </w:r>
      <w:r>
        <w:t xml:space="preserve"> </w:t>
      </w:r>
      <w:r>
        <w:t xml:space="preserve">prevalence</w:t>
      </w:r>
      <w:r>
        <w:t xml:space="preserve"> </w:t>
      </w:r>
      <w:r>
        <w:t xml:space="preserve">of</w:t>
      </w:r>
      <w:r>
        <w:t xml:space="preserve"> </w:t>
      </w:r>
      <w:r>
        <w:t xml:space="preserve">GxE</w:t>
      </w:r>
      <w:r>
        <w:t xml:space="preserve"> </w:t>
      </w:r>
      <w:r>
        <w:t xml:space="preserve">primed</w:t>
      </w:r>
      <w:r>
        <w:t xml:space="preserve"> </w:t>
      </w:r>
      <w:r>
        <w:t xml:space="preserve">by</w:t>
      </w:r>
      <w:r>
        <w:t xml:space="preserve"> </w:t>
      </w:r>
      <w:r>
        <w:t xml:space="preserve">weather</w:t>
      </w:r>
      <w:r>
        <w:t xml:space="preserve"> </w:t>
      </w:r>
      <w:r>
        <w:t xml:space="preserve">prior</w:t>
      </w:r>
      <w:r>
        <w:t xml:space="preserve"> </w:t>
      </w:r>
      <w:r>
        <w:t xml:space="preserve">to</w:t>
      </w:r>
      <w:r>
        <w:t xml:space="preserve"> </w:t>
      </w:r>
      <w:r>
        <w:t xml:space="preserve">the</w:t>
      </w:r>
      <w:r>
        <w:t xml:space="preserve"> </w:t>
      </w:r>
      <w:r>
        <w:t xml:space="preserve">phenological</w:t>
      </w:r>
      <w:r>
        <w:t xml:space="preserve"> </w:t>
      </w:r>
      <w:r>
        <w:t xml:space="preserve">event</w:t>
      </w:r>
      <w:r>
        <w:t xml:space="preserve"> </w:t>
      </w:r>
      <w:r>
        <w:t xml:space="preserve">(GxWeather)</w:t>
      </w:r>
      <w:r>
        <w:t xml:space="preserve"> </w:t>
      </w:r>
      <w:r>
        <w:t xml:space="preserve">should</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spanning</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We</w:t>
      </w:r>
      <w:r>
        <w:t xml:space="preserve"> </w:t>
      </w:r>
      <w:r>
        <w:t xml:space="preserve">distinguish</w:t>
      </w:r>
      <w:r>
        <w:t xml:space="preserve"> </w:t>
      </w:r>
      <w:r>
        <w:t xml:space="preserve">GxWeather</w:t>
      </w:r>
      <w:r>
        <w:t xml:space="preserve"> </w:t>
      </w:r>
      <w:r>
        <w:t xml:space="preserve">patterns</w:t>
      </w:r>
      <w:r>
        <w:t xml:space="preserve"> </w:t>
      </w:r>
      <w:r>
        <w:t xml:space="preserve">covarying</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from</w:t>
      </w:r>
      <w:r>
        <w:t xml:space="preserve"> </w:t>
      </w:r>
      <w:r>
        <w:t xml:space="preserve">agnostic,</w:t>
      </w:r>
      <w:r>
        <w:t xml:space="preserve"> </w:t>
      </w:r>
      <w:r>
        <w:t xml:space="preserve">site-based</w:t>
      </w:r>
      <w:r>
        <w:t xml:space="preserve"> </w:t>
      </w:r>
      <w:r>
        <w:t xml:space="preserve">patterns.</w:t>
      </w:r>
      <w:r>
        <w:t xml:space="preserve"> </w:t>
      </w:r>
      <w:r>
        <w:t xml:space="preserve">Most</w:t>
      </w:r>
      <w:r>
        <w:t xml:space="preserve"> </w:t>
      </w:r>
      <w:r>
        <w:t xml:space="preserve">GxWeather</w:t>
      </w:r>
      <w:r>
        <w:t xml:space="preserve"> </w:t>
      </w:r>
      <w:r>
        <w:t xml:space="preserve">effects</w:t>
      </w:r>
      <w:r>
        <w:t xml:space="preserve"> </w:t>
      </w:r>
      <w:r>
        <w:t xml:space="preserve">belong</w:t>
      </w:r>
      <w:r>
        <w:t xml:space="preserve"> </w:t>
      </w:r>
      <w:r>
        <w:t xml:space="preserve">to</w:t>
      </w:r>
      <w:r>
        <w:t xml:space="preserve"> </w:t>
      </w:r>
      <w:r>
        <w:t xml:space="preserve">the</w:t>
      </w:r>
      <w:r>
        <w:t xml:space="preserve"> </w:t>
      </w:r>
      <w:r>
        <w:t xml:space="preserve">latter</w:t>
      </w:r>
      <w:r>
        <w:t xml:space="preserve"> </w:t>
      </w:r>
      <w:r>
        <w:t xml:space="preserve">category</w:t>
      </w:r>
      <w:r>
        <w:t xml:space="preserve"> </w:t>
      </w:r>
      <w:r>
        <w:t xml:space="preserve">and</w:t>
      </w:r>
      <w:r>
        <w:t xml:space="preserve"> </w:t>
      </w:r>
      <w:r>
        <w:t xml:space="preserve">do</w:t>
      </w:r>
      <w:r>
        <w:t xml:space="preserve"> </w:t>
      </w:r>
      <w:r>
        <w:t xml:space="preserve">not</w:t>
      </w:r>
      <w:r>
        <w:t xml:space="preserve"> </w:t>
      </w:r>
      <w:r>
        <w:t xml:space="preserve">covary</w:t>
      </w:r>
      <w:r>
        <w:t xml:space="preserve"> </w:t>
      </w:r>
      <w:r>
        <w:t xml:space="preserve">with</w:t>
      </w:r>
      <w:r>
        <w:t xml:space="preserve"> </w:t>
      </w:r>
      <w:r>
        <w:t xml:space="preserve">weather-based</w:t>
      </w:r>
      <w:r>
        <w:t xml:space="preserve"> </w:t>
      </w:r>
      <w:r>
        <w:t xml:space="preserve">cues.</w:t>
      </w:r>
      <w:r>
        <w:t xml:space="preserve"> </w:t>
      </w:r>
      <w:r>
        <w:t xml:space="preserve">However,</w:t>
      </w:r>
      <w:r>
        <w:t xml:space="preserve"> </w:t>
      </w:r>
      <w:r>
        <w:t xml:space="preserve">65%</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33%</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while</w:t>
      </w:r>
      <w:r>
        <w:t xml:space="preserve"> </w:t>
      </w:r>
      <w:r>
        <w:t xml:space="preserve">22%</w:t>
      </w:r>
      <w:r>
        <w:t xml:space="preserve"> </w:t>
      </w:r>
      <w:r>
        <w:t xml:space="preserve">of</w:t>
      </w:r>
      <w:r>
        <w:t xml:space="preserve"> </w:t>
      </w:r>
      <w:r>
        <w:t xml:space="preserve">effects</w:t>
      </w:r>
      <w:r>
        <w:t xml:space="preserve"> </w:t>
      </w:r>
      <w:r>
        <w:t xml:space="preserve">on</w:t>
      </w:r>
      <w:r>
        <w:t xml:space="preserve"> </w:t>
      </w:r>
      <w:r>
        <w:t xml:space="preserve">flowering</w:t>
      </w:r>
      <w:r>
        <w:t xml:space="preserve"> </w:t>
      </w:r>
      <w:r>
        <w:t xml:space="preserve">timing</w:t>
      </w:r>
      <w:r>
        <w:t xml:space="preserve"> </w:t>
      </w:r>
      <w:r>
        <w:t xml:space="preserve">in</w:t>
      </w:r>
      <w:r>
        <w:t xml:space="preserve"> </w:t>
      </w:r>
      <w:r>
        <w:t xml:space="preserve">the</w:t>
      </w:r>
      <w:r>
        <w:t xml:space="preserve"> </w:t>
      </w:r>
      <w:r>
        <w:t xml:space="preserve">Midwest</w:t>
      </w:r>
      <w:r>
        <w:t xml:space="preserve"> </w:t>
      </w:r>
      <w:r>
        <w:t xml:space="preserve">population</w:t>
      </w:r>
      <w:r>
        <w:t xml:space="preserve"> </w:t>
      </w:r>
      <w:r>
        <w:t xml:space="preserve">covary</w:t>
      </w:r>
      <w:r>
        <w:t xml:space="preserve"> </w:t>
      </w:r>
      <w:r>
        <w:t xml:space="preserve">with</w:t>
      </w:r>
      <w:r>
        <w:t xml:space="preserve"> </w:t>
      </w:r>
      <w:r>
        <w:t xml:space="preserve">day</w:t>
      </w:r>
      <w:r>
        <w:t xml:space="preserve"> </w:t>
      </w:r>
      <w:r>
        <w:t xml:space="preserve">length</w:t>
      </w:r>
      <w:r>
        <w:t xml:space="preserve"> </w:t>
      </w:r>
      <w:r>
        <w:t xml:space="preserve">change</w:t>
      </w:r>
      <w:r>
        <w:t xml:space="preserve"> </w:t>
      </w:r>
      <w:r>
        <w:t xml:space="preserve">two</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An</w:t>
      </w:r>
      <w:r>
        <w:t xml:space="preserve"> </w:t>
      </w:r>
      <w:r>
        <w:t xml:space="preserve">independent</w:t>
      </w:r>
      <w:r>
        <w:t xml:space="preserve"> </w:t>
      </w:r>
      <w:r>
        <w:t xml:space="preserve">pseudo-F2</w:t>
      </w:r>
      <w:r>
        <w:t xml:space="preserve"> </w:t>
      </w:r>
      <w:r>
        <w:t xml:space="preserve">cross</w:t>
      </w:r>
      <w:r>
        <w:t xml:space="preserve"> </w:t>
      </w:r>
      <w:r>
        <w:t xml:space="preserve">of</w:t>
      </w:r>
      <w:r>
        <w:t xml:space="preserve"> </w:t>
      </w:r>
      <w:r>
        <w:t xml:space="preserve">Gulf</w:t>
      </w:r>
      <w:r>
        <w:t xml:space="preserve"> </w:t>
      </w:r>
      <w:r>
        <w:t xml:space="preserve">and</w:t>
      </w:r>
      <w:r>
        <w:t xml:space="preserve"> </w:t>
      </w:r>
      <w:r>
        <w:t xml:space="preserve">Midwest</w:t>
      </w:r>
      <w:r>
        <w:t xml:space="preserve"> </w:t>
      </w:r>
      <w:r>
        <w:t xml:space="preserve">individuals</w:t>
      </w:r>
      <w:r>
        <w:t xml:space="preserve"> </w:t>
      </w:r>
      <w:r>
        <w:t xml:space="preserve">at</w:t>
      </w:r>
      <w:r>
        <w:t xml:space="preserve"> </w:t>
      </w:r>
      <w:r>
        <w:t xml:space="preserve">the</w:t>
      </w:r>
      <w:r>
        <w:t xml:space="preserve"> </w:t>
      </w:r>
      <w:r>
        <w:t xml:space="preserve">same</w:t>
      </w:r>
      <w:r>
        <w:t xml:space="preserve"> </w:t>
      </w:r>
      <w:r>
        <w:t xml:space="preserve">sites</w:t>
      </w:r>
      <w:r>
        <w:t xml:space="preserve"> </w:t>
      </w:r>
      <w:r>
        <w:t xml:space="preserve">mapped</w:t>
      </w:r>
      <w:r>
        <w:t xml:space="preserve"> </w:t>
      </w:r>
      <w:r>
        <w:t xml:space="preserve">23</w:t>
      </w:r>
      <w:r>
        <w:t xml:space="preserve"> </w:t>
      </w:r>
      <w:r>
        <w:t xml:space="preserve">additive</w:t>
      </w:r>
      <w:r>
        <w:t xml:space="preserve"> </w:t>
      </w:r>
      <w:r>
        <w:t xml:space="preserve">QTLs</w:t>
      </w:r>
      <w:r>
        <w:t xml:space="preserve"> </w:t>
      </w:r>
      <w:r>
        <w:t xml:space="preserve">for</w:t>
      </w:r>
      <w:r>
        <w:t xml:space="preserve"> </w:t>
      </w:r>
      <w:r>
        <w:t xml:space="preserve">flowering,</w:t>
      </w:r>
      <w:r>
        <w:t xml:space="preserve"> </w:t>
      </w:r>
      <w:r>
        <w:t xml:space="preserve">all</w:t>
      </w:r>
      <w:r>
        <w:t xml:space="preserve"> </w:t>
      </w:r>
      <w:r>
        <w:t xml:space="preserve">with</w:t>
      </w:r>
      <w:r>
        <w:t xml:space="preserve"> </w:t>
      </w:r>
      <w:r>
        <w:t xml:space="preserve">significant</w:t>
      </w:r>
      <w:r>
        <w:t xml:space="preserve"> </w:t>
      </w:r>
      <w:r>
        <w:t xml:space="preserve">associations</w:t>
      </w:r>
      <w:r>
        <w:t xml:space="preserve"> </w:t>
      </w:r>
      <w:r>
        <w:t xml:space="preserve">and</w:t>
      </w:r>
      <w:r>
        <w:t xml:space="preserve"> </w:t>
      </w:r>
      <w:r>
        <w:t xml:space="preserve">eleven</w:t>
      </w:r>
      <w:r>
        <w:t xml:space="preserve"> </w:t>
      </w:r>
      <w:r>
        <w:t xml:space="preserve">with</w:t>
      </w:r>
      <w:r>
        <w:t xml:space="preserve"> </w:t>
      </w:r>
      <w:r>
        <w:t xml:space="preserve">enrichment</w:t>
      </w:r>
      <w:r>
        <w:t xml:space="preserve"> </w:t>
      </w:r>
      <w:r>
        <w:t xml:space="preserve">of</w:t>
      </w:r>
      <w:r>
        <w:t xml:space="preserve"> </w:t>
      </w:r>
      <w:r>
        <w:t xml:space="preserve">highly</w:t>
      </w:r>
      <w:r>
        <w:t xml:space="preserve"> </w:t>
      </w:r>
      <w:r>
        <w:t xml:space="preserve">significant</w:t>
      </w:r>
      <w:r>
        <w:t xml:space="preserve"> </w:t>
      </w:r>
      <w:r>
        <w:t xml:space="preserve">associations</w:t>
      </w:r>
      <w:r>
        <w:t xml:space="preserve"> </w:t>
      </w:r>
      <w:r>
        <w:t xml:space="preserve">in</w:t>
      </w:r>
      <w:r>
        <w:t xml:space="preserve"> </w:t>
      </w:r>
      <w:r>
        <w:t xml:space="preserve">our</w:t>
      </w:r>
      <w:r>
        <w:t xml:space="preserve"> </w:t>
      </w:r>
      <w:r>
        <w:t xml:space="preserve">model</w:t>
      </w:r>
      <w:r>
        <w:t xml:space="preserve"> </w:t>
      </w:r>
      <w:r>
        <w:t xml:space="preserve">of</w:t>
      </w:r>
      <w:r>
        <w:t xml:space="preserve"> </w:t>
      </w:r>
      <w:r>
        <w:t xml:space="preserve">GxWeather</w:t>
      </w:r>
      <w:r>
        <w:t xml:space="preserve"> </w:t>
      </w:r>
      <w:r>
        <w:t xml:space="preserve">effects.</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QTL</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them</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these</w:t>
      </w:r>
      <w:r>
        <w:t xml:space="preserve"> </w:t>
      </w:r>
      <w:r>
        <w:t xml:space="preserve">loci</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to</w:t>
      </w:r>
      <w:r>
        <w:t xml:space="preserve"> </w:t>
      </w:r>
      <w:r>
        <w:t xml:space="preserve">photoperiod</w:t>
      </w:r>
      <w:r>
        <w:t xml:space="preserve"> </w:t>
      </w:r>
      <w:r>
        <w:t xml:space="preserve">and</w:t>
      </w:r>
      <w:r>
        <w:t xml:space="preserve"> </w:t>
      </w:r>
      <w:r>
        <w:t xml:space="preserve">rainfall</w:t>
      </w:r>
      <w:r>
        <w:t xml:space="preserve"> </w:t>
      </w:r>
      <w:r>
        <w:t xml:space="preserve">cues</w:t>
      </w:r>
      <w:r>
        <w:t xml:space="preserve"> </w:t>
      </w:r>
      <w:r>
        <w:t xml:space="preserve">in</w:t>
      </w:r>
      <w:r>
        <w:t xml:space="preserve"> </w:t>
      </w:r>
      <w:r>
        <w:t xml:space="preserve">switchgrass.</w:t>
      </w:r>
      <w:r>
        <w:t xml:space="preserve"> </w:t>
      </w:r>
      <w:r>
        <w:t xml:space="preserve">More</w:t>
      </w:r>
      <w:r>
        <w:t xml:space="preserve"> </w:t>
      </w:r>
      <w:r>
        <w:t xml:space="preserve">broadly,</w:t>
      </w:r>
      <w:r>
        <w:t xml:space="preserve"> </w:t>
      </w:r>
      <w:r>
        <w:t xml:space="preserve">this</w:t>
      </w:r>
      <w:r>
        <w:t xml:space="preserve"> </w:t>
      </w:r>
      <w:r>
        <w:t xml:space="preserve">approach</w:t>
      </w:r>
      <w:r>
        <w:t xml:space="preserve"> </w:t>
      </w:r>
      <w:r>
        <w:t xml:space="preserve">could</w:t>
      </w:r>
      <w:r>
        <w:t xml:space="preserve"> </w:t>
      </w:r>
      <w:r>
        <w:t xml:space="preserve">be</w:t>
      </w:r>
      <w:r>
        <w:t xml:space="preserve"> </w:t>
      </w:r>
      <w:r>
        <w:t xml:space="preserve">used</w:t>
      </w:r>
      <w:r>
        <w:t xml:space="preserve"> </w:t>
      </w:r>
      <w:r>
        <w:t xml:space="preserve">to</w:t>
      </w:r>
      <w:r>
        <w:t xml:space="preserve"> </w:t>
      </w:r>
      <w:r>
        <w:t xml:space="preserve">identify</w:t>
      </w:r>
      <w:r>
        <w:t xml:space="preserve"> </w:t>
      </w:r>
      <w:r>
        <w:t xml:space="preserve">genetic</w:t>
      </w:r>
      <w:r>
        <w:t xml:space="preserve"> </w:t>
      </w:r>
      <w:r>
        <w:t xml:space="preserve">marker-environment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with</w:t>
      </w:r>
      <w:r>
        <w:t xml:space="preserve"> </w:t>
      </w:r>
      <w:r>
        <w:t xml:space="preserve">related</w:t>
      </w:r>
      <w:r>
        <w:t xml:space="preserve"> </w:t>
      </w:r>
      <w:r>
        <w:t xml:space="preserve">populations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environmentally-cued phenological responses: for example, populations of sunflower (Helianthus annuus)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 by 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a number of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 Additionally, despite theoretical predictions that local adaptation should involve antagonistic pleiotropy, or sign-changing GxE, at the level of individual loci</w:t>
      </w:r>
      <w:r>
        <w:t xml:space="preserve"> </w:t>
      </w:r>
      <w:r>
        <w:t xml:space="preserve">(22–25)</w:t>
      </w:r>
      <w:r>
        <w:t xml:space="preserve">, previous work has found limited evidence of antagonistic pleiotropy</w:t>
      </w:r>
      <w:r>
        <w:t xml:space="preserve"> </w:t>
      </w:r>
      <w:r>
        <w:t xml:space="preserve">(12, 26)</w:t>
      </w:r>
      <w:r>
        <w:t xml:space="preserve">. However, this work has been limited by a known statistical bias that reduced detection of genetic effects that differ in sign</w:t>
      </w:r>
      <w:r>
        <w:t xml:space="preserve"> </w:t>
      </w:r>
      <w:r>
        <w:t xml:space="preserve">(26–28)</w:t>
      </w:r>
      <w:r>
        <w:t xml:space="preserve">. Thus, despite substantial interest in the frequencies of various forms of GxE, the prevalence of antagonistic pleiotropy relative to other forms of GxE remains unknown.</w:t>
      </w:r>
    </w:p>
    <w:p>
      <w:pPr>
        <w:pStyle w:val="BodyText"/>
      </w:pPr>
      <w:r>
        <w:t xml:space="preserve">Switchgrass (</w:t>
      </w:r>
      <w:r>
        <w:rPr>
          <w:iCs/>
          <w:i/>
        </w:rPr>
        <w:t xml:space="preserve">Panicum virgatum</w:t>
      </w:r>
      <w:r>
        <w:t xml:space="preserve">) is considered a short-day plant with reproductive development strongly linked to day of the year</w:t>
      </w:r>
      <w:r>
        <w:t xml:space="preserve"> </w:t>
      </w:r>
      <w:r>
        <w:t xml:space="preserve">(29)</w:t>
      </w:r>
      <w:r>
        <w:t xml:space="preserve">. However, as part of its wide environmental adaptation across the eastern half of North America, its photoperiodicity has been predicted to differ by plant latitude of origin</w:t>
      </w:r>
      <w:r>
        <w:t xml:space="preserve"> </w:t>
      </w:r>
      <w:r>
        <w:t xml:space="preserve">(30, 31)</w:t>
      </w:r>
      <w:r>
        <w:t xml:space="preserve">. We previously found divergent Midwest and Gulf genetic subpopulations of switchgrass with distinct sets of environmental adaptations, in that both populations had distinct genetic variation associated with each of two fitness proxies, biomass and survival</w:t>
      </w:r>
      <w:r>
        <w:t xml:space="preserve"> </w:t>
      </w:r>
      <w:r>
        <w:t xml:space="preserve">(32)</w:t>
      </w:r>
      <w:r>
        <w:t xml:space="preserve">. The Midwest genetic subpopulation is primarily composed of individuals from the well-studied upland switchgrass ecotype</w:t>
      </w:r>
      <w:r>
        <w:t xml:space="preserve"> </w:t>
      </w:r>
      <w:r>
        <w:t xml:space="preserve">(33, 34)</w:t>
      </w:r>
      <w:r>
        <w:t xml:space="preserve">, while the Gulf subpopulation has individuals from the well-studied lowland ecotype and the phenotypically intermediate coastal ecotype</w:t>
      </w:r>
      <w:r>
        <w:t xml:space="preserve"> </w:t>
      </w:r>
      <w:r>
        <w:t xml:space="preserve">(32)</w:t>
      </w:r>
      <w:r>
        <w:t xml:space="preserve">.</w:t>
      </w:r>
    </w:p>
    <w:p>
      <w:pPr>
        <w:pStyle w:val="BodyText"/>
      </w:pPr>
      <w:r>
        <w:t xml:space="preserve">Here, we estimate the ways genetic effects on phenological timings depend on weather prior to the phenological event. To do this, we phenotype a diversity panel of hundreds of switchgrass genotypes from the Midwest and Gulf subpopulations for the timing of vegetative and reproductive development at eight common garden locations spanning 17 degrees of latitude. These gardens cover the majority of the latitudinal and climatic range of switchgrass and capture the most comprehensive picture to date of the environmental variation this species encounters. We define a number of ways phenological timings might covary with weather (@tbl-covar) and additional ways phenological timings might vary by site (@SI-info), then jointly re-estimate genetic effects on these timings at all eight sites using the set of these covariance types that significantly improved the modeled log-likelihood when included (@SI-info)</w:t>
      </w:r>
      <w:r>
        <w:t xml:space="preserve"> </w:t>
      </w:r>
      <w:r>
        <w:t xml:space="preserve">(35)</w:t>
      </w:r>
      <w:r>
        <w:t xml:space="preserve">. The method we use for effect re-estimation, mash, allows us to identify and specify multiple ways genetic effects may covary with the environment, and does not have a statistical bias in detecting genetic effects with the same or opposite signs</w:t>
      </w:r>
      <w:r>
        <w:t xml:space="preserve"> </w:t>
      </w:r>
      <w:r>
        <w:t xml:space="preserve">(36)</w:t>
      </w:r>
      <w:r>
        <w:t xml:space="preserve">. To confirm our genetic mapping of GxWeather, we compare our re-estimated genetic effects to mapping results from an outbred pseudo-F2 cross grown at the same sites. Our analysis allow us to describe the weather cues and genetic variation affecting phenology in two divergent natural populations of switchgrass.</w:t>
      </w:r>
    </w:p>
    <w:bookmarkStart w:id="22"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vegetative growth occurred before Midwestern vegetative growth, and Gulf flowering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time period, and Gulf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timing of vegetative growth between the North and Texas gardens, particularly in the Gulf and across all individuals (hereafter,</w:t>
      </w:r>
      <w:r>
        <w:t xml:space="preserve"> </w:t>
      </w:r>
      <w:r>
        <w:t xml:space="preserve">‘</w:t>
      </w:r>
      <w:r>
        <w:t xml:space="preserve">Both</w:t>
      </w:r>
      <w:r>
        <w:t xml:space="preserve">’</w:t>
      </w:r>
      <w:r>
        <w:t xml:space="preserve"> </w:t>
      </w:r>
      <w:r>
        <w:t xml:space="preserve">subpopulations), and contributed to positive phenotypic correlations for the timing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indicated that rank-changing GxE for these phenotypes was present across the common gardens (</w:t>
      </w:r>
      <w:hyperlink w:anchor="fig-map">
        <w:r>
          <w:rPr>
            <w:rStyle w:val="Hyperlink"/>
          </w:rPr>
          <w:t xml:space="preserve">Figure 1</w:t>
        </w:r>
      </w:hyperlink>
      <w:r>
        <w:t xml:space="preserve"> </w:t>
      </w:r>
      <w:r>
        <w:t xml:space="preserve">C).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w:t>
      </w:r>
    </w:p>
    <w:bookmarkStart w:id="20" w:name="X9e4d325e8e62f186394ee5b97b49c6d40dbdeee"/>
    <w:p>
      <w:pPr>
        <w:pStyle w:val="Heading3"/>
      </w:pPr>
      <w:r>
        <w:t xml:space="preserve">GxWeather mixtures for vegetative and reproductive timing</w:t>
      </w:r>
    </w:p>
    <w:p>
      <w:pPr>
        <w:pStyle w:val="FirstParagraph"/>
      </w:pPr>
      <w:r>
        <w:t xml:space="preserve">We next looked for evidence of GxWeather by jointly re-estimating genetic effects across all eight common gardens using a model that allows effects to covary between gardens in many ways (</w:t>
      </w:r>
      <w:hyperlink w:anchor="fig-map">
        <w:r>
          <w:rPr>
            <w:rStyle w:val="Hyperlink"/>
          </w:rPr>
          <w:t xml:space="preserve">Figure 1</w:t>
        </w:r>
      </w:hyperlink>
      <w:r>
        <w:t xml:space="preserve"> </w:t>
      </w:r>
      <w:r>
        <w:t xml:space="preserve">D, SI Appendix, Datasets 1-6). To do this, we used genome-wide association (GWAS) on site-specific BLUPs for the timing of vegetative growth and flowering to determine preliminary single nucleotide polymorphism (SNP) effect estimates at each garden. We then jointly modeled genetic effect estimates, and the mixture of ways these effects might covary, across all eight common gardens, using a two-part procedure. We first modeled genetic effects with different combinations of covariance types, using a subset of effects selected at random from all SNPs used in the GWAS. In these models, we specified many ways genetic effects could covary between gardens (as expanded on below) and used a greedy algorithm to iteratively select covariance structures that significantly improved the log likelihood of a model when included. Given the high correlation between some of the covariance patterns we tested, this approach allowed us to select only the subset of patterns of covariation that most improved the fit of the joint effect patterns present in the data. We then re-estimated the set of genetic effects that had the largest effect estimates in univariate GWAS (hereafter</w:t>
      </w:r>
      <w:r>
        <w:t xml:space="preserve"> </w:t>
      </w:r>
      <w:r>
        <w:t xml:space="preserve">“</w:t>
      </w:r>
      <w:r>
        <w:t xml:space="preserve">strong</w:t>
      </w:r>
      <w:r>
        <w:t xml:space="preserve">”</w:t>
      </w:r>
      <w:r>
        <w:t xml:space="preserve"> </w:t>
      </w:r>
      <w:r>
        <w:t xml:space="preserve">effects) using the set of significant covariance matrices that most improved the model fit on the random effects.</w:t>
      </w:r>
    </w:p>
    <w:p>
      <w:pPr>
        <w:pStyle w:val="BodyText"/>
      </w:pPr>
      <w:r>
        <w:t xml:space="preserve">We created three categories of ways effects could covary across gardens:</w:t>
      </w:r>
      <w:r>
        <w:t xml:space="preserve"> </w:t>
      </w:r>
      <w:r>
        <w:t xml:space="preserve">“</w:t>
      </w:r>
      <w:r>
        <w:t xml:space="preserve">canonical</w:t>
      </w:r>
      <w:r>
        <w:t xml:space="preserve">”</w:t>
      </w:r>
      <w:r>
        <w:t xml:space="preserve"> </w:t>
      </w:r>
      <w:r>
        <w:t xml:space="preserve">covariance, with simple patterns of effects;</w:t>
      </w:r>
      <w:r>
        <w:t xml:space="preserve"> </w:t>
      </w:r>
      <w:r>
        <w:t xml:space="preserve">“</w:t>
      </w:r>
      <w:r>
        <w:t xml:space="preserve">data-driven</w:t>
      </w:r>
      <w:r>
        <w:t xml:space="preserve">”</w:t>
      </w:r>
      <w:r>
        <w:t xml:space="preserve"> </w:t>
      </w:r>
      <w:r>
        <w:t xml:space="preserve">covariances derived from common patterns of SNP effects in the data, and</w:t>
      </w:r>
      <w:r>
        <w:t xml:space="preserve"> </w:t>
      </w:r>
      <w:r>
        <w:t xml:space="preserve">“</w:t>
      </w:r>
      <w:r>
        <w:t xml:space="preserve">GxWeather</w:t>
      </w:r>
      <w:r>
        <w:t xml:space="preserve">”</w:t>
      </w:r>
      <w:r>
        <w:t xml:space="preserve"> </w:t>
      </w:r>
      <w:r>
        <w:t xml:space="preserve">covariances that captured the covariance of weather variables at specific times before the phenological event (Table 1, SI Appendix, Section S2). For example, GxWeather covariance between gardens in MI and MO, for rainfall in the seven days prior to flowering, captures the covariance in the amount of rainfall genotype A, B, and C receive in the seven days prior to their three flowering dates in MI and their three flowering dates in MO. If these six rainfall values are similar, covariance will be near one; if they are uncorrelated, covariance will be near zero; if there is sufficient rank changing in rainfall amounts between gardens for these genotypes, this covariance will be near negative one.</w:t>
      </w:r>
    </w:p>
    <w:p>
      <w:pPr>
        <w:pStyle w:val="BodyText"/>
      </w:pPr>
      <w:r>
        <w:t xml:space="preserve">The GxWeather covariances allow hypothesis testing of specific weather variables as cues for each genetic effect. Say that a SNP in FLC controls flowering in a photoperiod-dependent manner. In that case, that SNP effect could have a high mixture proportion, or mass, on a covariance matrix created using a photoperiod-based environmental cue, such as day length two days prior to flowering. In our data, we would infer that the effect of that SNP on flowering was caused by a response to that or a correlated environmental cue. Overall, loadings of genetic effects on these GxWeather matrices in the model with re-estimated effects provide information on genome-wide patterns of SNP-environment interaction.</w:t>
      </w:r>
    </w:p>
    <w:p>
      <w:pPr>
        <w:pStyle w:val="BodyText"/>
      </w:pPr>
      <w:r>
        <w:t xml:space="preserve">The phenotypic correlations for the timing of vegetative growth had moderate negative correlations between the Texas and North gardens, particularly in the Gulf and in Both subpopulations (</w:t>
      </w:r>
      <w:hyperlink w:anchor="fig-map">
        <w:r>
          <w:rPr>
            <w:rStyle w:val="Hyperlink"/>
          </w:rPr>
          <w:t xml:space="preserve">Figure 1</w:t>
        </w:r>
      </w:hyperlink>
      <w:r>
        <w:t xml:space="preserve"> </w:t>
      </w:r>
      <w:r>
        <w:t xml:space="preserve">B). If these phenotypic correlations have a genetic component, then they might be controlled by SNP effects that differed in sign across these regions (effects with antagonistic pleiotropy), SNP effects that are large in one garden or region and non-significant in others (effects with amplification), or a combination of these patterns. Five GxWeather covariance matrices were selected by the greedy mash algorithm, one to two per subpopulation. Of these five, three had mass on them in mash models of the strong effects (</w:t>
      </w:r>
      <w:hyperlink w:anchor="fig-covar">
        <w:r>
          <w:rPr>
            <w:rStyle w:val="Hyperlink"/>
          </w:rPr>
          <w:t xml:space="preserve">Figure 2</w:t>
        </w:r>
      </w:hyperlink>
      <w:r>
        <w:t xml:space="preserve"> </w:t>
      </w:r>
      <w:r>
        <w:t xml:space="preserve">A-B). Two of these three matrices had negative covariances between sites between Texas and North gardens (</w:t>
      </w:r>
      <w:hyperlink w:anchor="fig-covar">
        <w:r>
          <w:rPr>
            <w:rStyle w:val="Hyperlink"/>
          </w:rPr>
          <w:t xml:space="preserve">Figure 2</w:t>
        </w:r>
      </w:hyperlink>
      <w:r>
        <w:t xml:space="preserve"> </w:t>
      </w:r>
      <w:r>
        <w:t xml:space="preserve">A), while one had all positive or near-zero covariances.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 mash model of Gulf vegetative growth fell on a covariance matrix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Mash models of the timing of vegetative growth in Midwest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w:t>
      </w:r>
    </w:p>
    <w:p>
      <w:pPr>
        <w:pStyle w:val="BodyText"/>
      </w:pPr>
      <w:r>
        <w:t xml:space="preserve">For flowering date, distinct GxWeather covariances captured SNP-associated effect patterns in the Gulf and Midwest subpopulations. 33% of SNP effects on flowering in the Gulf subpopulation covaried with cumulative rainfall in the seven days prior to flowering (Fig 2D). 22.6% of SNP effects on flowering in the Midwest subpopulation covaried with day length change in the two days prior to flowering (Fig 2D), which had negative covariances between Texas and North gardens. Neither covariance matrix was selected for in Both subpopulations, and no GxWeather covariance matrices had mass in Both subpopulations (Fig 2E). In five of the six mash models of strong effects, the GxWeather covariance matrices captured a minority of the posterior weights of the strong effects (Figure 2C,E);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We used the local false sign rate (lfsr), an analogue of the lfdr that establishes confidence in the effect sign, not the effect’s difference from zero, to determine significance. We required significance (p &lt; 0.05) in both gardens to include effects. This means that our tests for antagonistic pleiotropy, or a sign change between conditions, carry an equal statistical burden to those for effects with the same sign. We also summarized the pairwise patterns of effect sign and magnitude within and between the Texas and North regions (Table 2).</w:t>
      </w:r>
    </w:p>
    <w:p>
      <w:pPr>
        <w:pStyle w:val="BodyText"/>
      </w:pPr>
      <w:r>
        <w:t xml:space="preserve">For greenup date for the Gulf subpopulation, hundreds to thousands of pairwise effects exhibited antagonistic pleiotropy, or a difference in effect sign, between pairs of Texas and North gardens (Fig. 3A). 78.7% of pairwise comparisons between North and Texas gardens had a difference in sign, while only 28.6% and 0.2% of North-North or Texas-Texas comparisons had a difference in sign, respectively (Table 2). The majority of pairwise effects for greenup for the Midwest (&gt;55%) and Both (&gt;85%) subpopulations were the same sign, and effects frequently differed in magnitude between the MO and OK garden and other gardens (Table 2; Fig 3A).</w:t>
      </w:r>
    </w:p>
    <w:p>
      <w:pPr>
        <w:pStyle w:val="BodyText"/>
      </w:pPr>
      <w:r>
        <w:t xml:space="preserve">For flowering date for the Gulf subpopulation, less than 2% of pairwise effects exhibited antagonistic pleiotropy, or a difference in effect sign, within or between regions (Table 2). More effects differed in magnitude between the Texas and North regions than within these regions (42.7% vs &lt;20%; Figure 3B). The Midwest population had relatively few significant effects for flowering, but a large proportion of these differed in sign between Texas and North regions (42.7%) or within the North region (65.4%). Finally, in Both subpopulations, less than 20% of pairwise effects differed in sign (Table 2). Most differences in sign were between TX1, the southernmost garden, and all other gardens (Fig 3B). Similarly, more effects that differed in magnitude included gardens in the Texas region (52.3-55.9%), and most effect pairs in the North region were not distinguishable (91.5%).</w:t>
      </w:r>
    </w:p>
    <w:bookmarkEnd w:id="20"/>
    <w:bookmarkStart w:id="21"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for our significant effect re-estimates using an independent pseudo-F2 mapping population created from Gulf &amp; Midwest individuals and grown at the same sites (Fig. 4A,B). We conducted quantitative trait loci (QTL) mapping of flowering as functions of four environmental cues that we also used as covariance matrices in mash, and identified eight QTL for flowering date, six QTL for flowering GDD, ten QTL for flowering day length, and eight QTL flowering day length change, all of which showed QTL by environment interactions (SI Appendix, Fig. S3). All QTL for flowering overlapped one or more homologs from rice or</w:t>
      </w:r>
      <w:r>
        <w:t xml:space="preserve"> </w:t>
      </w:r>
      <w:r>
        <w:rPr>
          <w:iCs/>
          <w:i/>
        </w:rPr>
        <w:t xml:space="preserve">A. thaliana</w:t>
      </w:r>
      <w:r>
        <w:t xml:space="preserve"> </w:t>
      </w:r>
      <w:r>
        <w:t xml:space="preserve">with functionally validated roles in flowering (SI Appendix, Dataset 7). All flowering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five QTL had enrichments of SNPs in the mash 1% tail. Overall, there were eleven significant enrichments (p &lt; 0.05, hypergeometric test) of SNPs in the mash 1% tail in the QTL intervals. Our QTL intervals had more enrichments of SNPs in the mash 1% tail than were found for all but eleven of these sets of random genomic intervals (Fig. 4C, p = 0.011). Thus, we were able to experimentally support our significant effect re-estimates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substantial antagonistic pleiotropy in effects between the Texas and North gardens (Figure 3A). This result supports theoretical models that local adaptation should involve antagonistic pleiotropy at the level of individual loci</w:t>
      </w:r>
      <w:r>
        <w:t xml:space="preserve"> </w:t>
      </w:r>
      <w:r>
        <w:t xml:space="preserve">(22–25)</w:t>
      </w:r>
      <w:r>
        <w:t xml:space="preserve">, and is the first experimental work using QTL mapping and GWAS across common gardens to find antagonistic pleiotropy to be common in small genomic regions</w:t>
      </w:r>
      <w:r>
        <w:t xml:space="preserve"> </w:t>
      </w:r>
      <w:r>
        <w:t xml:space="preserve">(12, 37, 38)</w:t>
      </w:r>
      <w:r>
        <w:t xml:space="preserve">.</w:t>
      </w:r>
    </w:p>
    <w:p>
      <w:pPr>
        <w:pStyle w:val="BodyText"/>
      </w:pPr>
      <w:r>
        <w:t xml:space="preserve">Our analysis of the timing of flowering showed that the Gulf and Midwest subpopulations have distinct GxWeather: flowering timing in the Midwest subpopulation has photoperiod-related variation, in that flowering timing covaries with a day length change signal in the two days before flowering occurs. In contrast, the Gulf subpopulation does not have variation in flowering based on photoperiod. Instead, the Gulf subpopulation has variation in flowering that covaries with the rainfall that occurs in the week prior to flowering. The genomic regions affecting flowering that we re-estimated across all eight sites were also supported by QTL from an independent mapping population at these sites (Fig. 4C).</w:t>
      </w:r>
    </w:p>
    <w:p>
      <w:pPr>
        <w:pStyle w:val="BodyText"/>
      </w:pPr>
      <w:r>
        <w:t xml:space="preserve">Identifying the environmental cues that are predictive of, or even correlated with, plant phenotypic responses remains a major challenge to studies interrogating gene action across many natural environments. Clearly, the photoperiod and cumulative GDD cues we identify here are functions of the genotypes measured, are not predictive, and capture only a minority of SNP effects on flowering. We know still less about the overwintering parameters that affect green-up, which is reflected in our lower ability to assign SNP effects on green-up to weather-based cues. More generally, it is difficult to predict the time scales over which individuals may integrate environmental cues, particularly in perennial species which may integrate these cues over longer time scales. Mash offers an opportunity to specify multiple environmental cues and compete them to explain patterns of SNP effects, allowing us to detect how important these cues are genome-wide, and how strongly each cue influences each SNP. This is a key development to further improve our understanding of genetic variation in GxE.</w:t>
      </w:r>
    </w:p>
    <w:bookmarkEnd w:id="23"/>
    <w:bookmarkStart w:id="32"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6144335"/>
                  <wp:effectExtent b="0" l="0" r="0" t="0"/>
                  <wp:docPr descr="" title="" id="25" name="Picture"/>
                  <a:graphic>
                    <a:graphicData uri="http://schemas.openxmlformats.org/drawingml/2006/picture">
                      <pic:pic>
                        <pic:nvPicPr>
                          <pic:cNvPr descr="images/Fig1_200dpi.png" id="26" name="Picture"/>
                          <pic:cNvPicPr>
                            <a:picLocks noChangeArrowheads="1" noChangeAspect="1"/>
                          </pic:cNvPicPr>
                        </pic:nvPicPr>
                        <pic:blipFill>
                          <a:blip r:embed="rId24"/>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2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 w:name="fig-covar"/>
          <w:p>
            <w:pPr>
              <w:pStyle w:val="Compact"/>
              <w:jc w:val="center"/>
            </w:pPr>
            <w:r>
              <w:drawing>
                <wp:inline>
                  <wp:extent cx="5334000" cy="3765176"/>
                  <wp:effectExtent b="0" l="0" r="0" t="0"/>
                  <wp:docPr descr="" title="" id="29" name="Picture"/>
                  <a:graphic>
                    <a:graphicData uri="http://schemas.openxmlformats.org/drawingml/2006/picture">
                      <pic:pic>
                        <pic:nvPicPr>
                          <pic:cNvPr descr="images/Figure_2_Covariance_matrices_and_posterior_weights.png" id="30" name="Picture"/>
                          <pic:cNvPicPr>
                            <a:picLocks noChangeArrowheads="1" noChangeAspect="1"/>
                          </pic:cNvPicPr>
                        </pic:nvPicPr>
                        <pic:blipFill>
                          <a:blip r:embed="rId28"/>
                          <a:stretch>
                            <a:fillRect/>
                          </a:stretch>
                        </pic:blipFill>
                        <pic:spPr bwMode="auto">
                          <a:xfrm>
                            <a:off x="0" y="0"/>
                            <a:ext cx="5334000" cy="3765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Caption for this figure…</w:t>
            </w:r>
          </w:p>
          <w:bookmarkEnd w:id="31"/>
        </w:tc>
      </w:tr>
    </w:tbl>
    <w:bookmarkEnd w:id="32"/>
    <w:bookmarkStart w:id="36"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33"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green-up date as the day of the year when 50% of the tiller area of the crown of the plant cut the previous year had green growth.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 (32).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(h2) for green-up and flowering were done using linear mixed models and followed (32). Details on these models can be found in (SI Appendix, Section S3,S4).</w:t>
      </w:r>
    </w:p>
    <w:bookmarkEnd w:id="33"/>
    <w:bookmarkStart w:id="34" w:name="Xe96ad7ab9a01d342a3d604ca70c7fa160af4b44"/>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(mash) on SNP effect estimates from the diversity panel (35). Mash is a statistical method that allows estimation and comparison of many effects jointly across many different conditions; it improves on previous methods by allowing multiple, arbitrary correlations in effect sizes among conditions (SI Appendix, Section S5). To obtain SNP effect estimates, we first conducted univariate genome-wide association at each common garden for green-up and flowering date. We then analyzed SNP effects for the top 19K relatively unlinked (r2 &lt; 0.2) SNPs per condition using mash, as in (32). Details on these models can be found in (SI Appendix, Section S6).</w:t>
      </w:r>
    </w:p>
    <w:p>
      <w:pPr>
        <w:pStyle w:val="BodyText"/>
      </w:pPr>
      <w:r>
        <w:t xml:space="preserve">We generated hypothesis-based covariance matrices derived from correlations in environmental cues in the green-up or flowering date windows for the three subpopulations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(denoted DD_PCA_1 through DD_PCA_5) produced by singular value decomposition (SVD) of an overall matrix, denoted</w:t>
      </w:r>
      <w:r>
        <w:t xml:space="preserve"> </w:t>
      </w:r>
      <w:r>
        <w:t xml:space="preserve">‘</w:t>
      </w:r>
      <w:r>
        <w:t xml:space="preserve">DD_tPCA</w:t>
      </w:r>
      <w:r>
        <w:t xml:space="preserve">’</w:t>
      </w:r>
      <w:r>
        <w:t xml:space="preserve">. We used SVD to present vectors of garden-specific effects for each numbered DD_PCA matrix, because the first eigenvector of a SVD explains 100% of the variation in these matrices, and each value in this eigenvector represents one garden-specific effect.</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lfsr_j is defined as the probability that we make an error in the sign of effect j if we were forced to declare the effect positive or negative (Stephens paper).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and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34"/>
    <w:bookmarkStart w:id="35" w:name="X4f0857fc0fd6b86351ff3a0bd0a90eaf0189cf0"/>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(34); additional details on QTL mapping can be found in SI Appendix, Section S6. To be directly comparable to the diversity panel data, only 2019 phenology data from the pseudo-F2 cross from the same eight common garden sites were used. To compare our QTL enrichments of significant mash associations to the null expectation, we used permutation to choose 1000 sets of 23 genomic regions of the same size randomly distributed throughout the genome, then calculated enrichments of the mash 1% tail in these random intervals.</w:t>
      </w:r>
    </w:p>
    <w:bookmarkEnd w:id="35"/>
    <w:bookmarkEnd w:id="36"/>
    <w:bookmarkStart w:id="78" w:name="references"/>
    <w:p>
      <w:pPr>
        <w:pStyle w:val="Heading1"/>
      </w:pPr>
      <w:r>
        <w:t xml:space="preserve">References</w:t>
      </w:r>
    </w:p>
    <w:p>
      <w:pPr>
        <w:pStyle w:val="FirstParagraph"/>
      </w:pPr>
    </w:p>
    <w:bookmarkStart w:id="77" w:name="refs"/>
    <w:bookmarkStart w:id="38"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37">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38"/>
    <w:bookmarkStart w:id="39"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39"/>
    <w:bookmarkStart w:id="40"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0"/>
    <w:bookmarkStart w:id="41"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1"/>
    <w:bookmarkStart w:id="42"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42"/>
    <w:bookmarkStart w:id="43"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43"/>
    <w:bookmarkStart w:id="44"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44"/>
    <w:bookmarkStart w:id="45"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45"/>
    <w:bookmarkStart w:id="46"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46"/>
    <w:bookmarkStart w:id="47"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47"/>
    <w:bookmarkStart w:id="48"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48"/>
    <w:bookmarkStart w:id="49"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49"/>
    <w:bookmarkStart w:id="50"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0"/>
    <w:bookmarkStart w:id="51"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1"/>
    <w:bookmarkStart w:id="52"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52"/>
    <w:bookmarkStart w:id="53"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53"/>
    <w:bookmarkStart w:id="54"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54"/>
    <w:bookmarkStart w:id="55"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55"/>
    <w:bookmarkStart w:id="56"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56"/>
    <w:bookmarkStart w:id="57"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57"/>
    <w:bookmarkStart w:id="58"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58"/>
    <w:bookmarkStart w:id="59" w:name="ref-levene1953genetic"/>
    <w:p>
      <w:pPr>
        <w:pStyle w:val="Bibliography"/>
      </w:pPr>
      <w:r>
        <w:t xml:space="preserve">22.</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59"/>
    <w:bookmarkStart w:id="60" w:name="ref-felsenstein1976theoretical"/>
    <w:p>
      <w:pPr>
        <w:pStyle w:val="Bibliography"/>
      </w:pPr>
      <w:r>
        <w:t xml:space="preserve">23.</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60"/>
    <w:bookmarkStart w:id="61" w:name="ref-kawecki2004conceptual"/>
    <w:p>
      <w:pPr>
        <w:pStyle w:val="Bibliography"/>
      </w:pPr>
      <w:r>
        <w:t xml:space="preserve">24.</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61"/>
    <w:bookmarkStart w:id="62" w:name="ref-hedrick1986genetic"/>
    <w:p>
      <w:pPr>
        <w:pStyle w:val="Bibliography"/>
      </w:pPr>
      <w:r>
        <w:t xml:space="preserve">25.</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62"/>
    <w:bookmarkStart w:id="63" w:name="ref-des2013genotype"/>
    <w:p>
      <w:pPr>
        <w:pStyle w:val="Bibliography"/>
      </w:pPr>
      <w:r>
        <w:t xml:space="preserve">26.</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63"/>
    <w:bookmarkStart w:id="64" w:name="ref-anderson2013genetic"/>
    <w:p>
      <w:pPr>
        <w:pStyle w:val="Bibliography"/>
      </w:pPr>
      <w:r>
        <w:t xml:space="preserve">27.</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64"/>
    <w:bookmarkStart w:id="65" w:name="ref-anderson2011evolutionary"/>
    <w:p>
      <w:pPr>
        <w:pStyle w:val="Bibliography"/>
      </w:pPr>
      <w:r>
        <w:t xml:space="preserve">28.</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65"/>
    <w:bookmarkStart w:id="66" w:name="ref-mitchell1997predicting"/>
    <w:p>
      <w:pPr>
        <w:pStyle w:val="Bibliography"/>
      </w:pPr>
      <w:r>
        <w:t xml:space="preserve">29.</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66"/>
    <w:bookmarkStart w:id="67" w:name="ref-parrish2005biology"/>
    <w:p>
      <w:pPr>
        <w:pStyle w:val="Bibliography"/>
      </w:pPr>
      <w:r>
        <w:t xml:space="preserve">30.</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67"/>
    <w:bookmarkStart w:id="68" w:name="ref-casler2004latitudinal"/>
    <w:p>
      <w:pPr>
        <w:pStyle w:val="Bibliography"/>
      </w:pPr>
      <w:r>
        <w:t xml:space="preserve">31.</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68"/>
    <w:bookmarkStart w:id="69" w:name="ref-lovell2021genomic"/>
    <w:p>
      <w:pPr>
        <w:pStyle w:val="Bibliography"/>
      </w:pPr>
      <w:r>
        <w:t xml:space="preserve">32.</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69"/>
    <w:bookmarkStart w:id="70" w:name="ref-porter1966analysis"/>
    <w:p>
      <w:pPr>
        <w:pStyle w:val="Bibliography"/>
      </w:pPr>
      <w:r>
        <w:t xml:space="preserve">33.</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70"/>
    <w:bookmarkStart w:id="71" w:name="ref-milano2016genetic"/>
    <w:p>
      <w:pPr>
        <w:pStyle w:val="Bibliography"/>
      </w:pPr>
      <w:r>
        <w:t xml:space="preserve">34.</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71"/>
    <w:bookmarkStart w:id="72" w:name="ref-urbut2019flexible"/>
    <w:p>
      <w:pPr>
        <w:pStyle w:val="Bibliography"/>
      </w:pPr>
      <w:r>
        <w:t xml:space="preserve">35.</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72"/>
    <w:bookmarkStart w:id="74" w:name="ref-10.1093/biostatistics/kxw041"/>
    <w:p>
      <w:pPr>
        <w:pStyle w:val="Bibliography"/>
      </w:pPr>
      <w:r>
        <w:t xml:space="preserve">36.</w:t>
      </w:r>
      <w:r>
        <w:t xml:space="preserve"> </w:t>
      </w:r>
      <w:r>
        <w:t xml:space="preserve">	</w:t>
      </w:r>
      <w:r>
        <w:t xml:space="preserve">M. Stephens,</w:t>
      </w:r>
      <w:r>
        <w:t xml:space="preserve"> </w:t>
      </w:r>
      <w:hyperlink r:id="rId73">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74"/>
    <w:bookmarkStart w:id="75" w:name="ref-savolainen2013ecological"/>
    <w:p>
      <w:pPr>
        <w:pStyle w:val="Bibliography"/>
      </w:pPr>
      <w:r>
        <w:t xml:space="preserve">37.</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75"/>
    <w:bookmarkStart w:id="76" w:name="ref-lowry2019qtl"/>
    <w:p>
      <w:pPr>
        <w:pStyle w:val="Bibliography"/>
      </w:pPr>
      <w:r>
        <w:t xml:space="preserve">38.</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37" Target="https://doi.org/10.1073/pnas.1119131109" TargetMode="External" /><Relationship Type="http://schemas.openxmlformats.org/officeDocument/2006/relationships/hyperlink" Id="rId73" Target="https://doi.org/10.1093/biostatistics/kxw041"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73/pnas.1119131109" TargetMode="External" /><Relationship Type="http://schemas.openxmlformats.org/officeDocument/2006/relationships/hyperlink" Id="rId73" Target="https://doi.org/10.1093/biostatistics/kxw0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Mixtures of Genotype-by-Weather Interactions in Switchgrass (Panicum virgatum)</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rainfall, genetic variation</cp:keywords>
  <dcterms:created xsi:type="dcterms:W3CDTF">2024-01-08T16:28:20Z</dcterms:created>
  <dcterms:modified xsi:type="dcterms:W3CDTF">2024-01-08T16:28:20Z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both genetic variation and environmental cues; thus, phenological traits can have important genotype-by-environment (GxE) interactions. Identifying the mixture and prevalence of GxE primed by weather prior to the phenological event (GxWeather) should aid prediction and manipulation of phenological timings. Here, we map GxWeather effects on phenological timings in two highly divergent switchgrass (Panicum virgatum) populations using repeated plantings of these populations at eight sites spanning the central United States. We distinguish GxWeather patterns covarying with interpretable weather-based cues from agnostic, site-based patterns. Most GxWeather effects belong to the latter category and do not covary with weather-based cues. However, 65% of effects on the timing of vegetative growth in the Gulf population covary with daylength 14 days prior to green-up date. 33% of effects on the timing of flowering in the Gulf population covary with cumulative rainfall in the seven days prior to flowering, while 22% of effects on flowering timing in the Midwest population covary with day length change two days prior to flowering. An independent pseudo-F2 cross of Gulf and Midwest individuals at the same sites mapped 23 additive QTLs for flowering, all with significant associations and eleven with enrichment of highly significant associations in our model of GxWeather effects. We demonstrate that we can identify QTL with GxWeather and assign them to specific weather-based cues or other patterns. Breeding for particular alleles at these loci could change flowering responsiveness to photoperiod and rainfall cues in switchgrass. More broadly, this approach could be used to identify genetic marker-environment interactions in any species with related populations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