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A.</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depends</w:t>
      </w:r>
      <w:r>
        <w:t xml:space="preserve"> </w:t>
      </w:r>
      <w:r>
        <w:t xml:space="preserve">on</w:t>
      </w:r>
      <w:r>
        <w:t xml:space="preserve"> </w:t>
      </w:r>
      <w:r>
        <w:t xml:space="preserve">genetic</w:t>
      </w:r>
      <w:r>
        <w:t xml:space="preserve"> </w:t>
      </w:r>
      <w:r>
        <w:t xml:space="preserve">effects,</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possibly</w:t>
      </w:r>
      <w:r>
        <w:t xml:space="preserve"> </w:t>
      </w:r>
      <w:r>
        <w:t xml:space="preserve">their</w:t>
      </w:r>
      <w:r>
        <w:t xml:space="preserve"> </w:t>
      </w:r>
      <w:r>
        <w:t xml:space="preserve">interaction.</w:t>
      </w:r>
      <w:r>
        <w:t xml:space="preserve"> </w:t>
      </w:r>
      <w:r>
        <w:t xml:space="preserve">Quantifying</w:t>
      </w:r>
      <w:r>
        <w:t xml:space="preserve"> </w:t>
      </w:r>
      <w:r>
        <w:t xml:space="preserve">these</w:t>
      </w:r>
      <w:r>
        <w:t xml:space="preserve"> </w:t>
      </w:r>
      <w:r>
        <w:t xml:space="preserve">GxWeather</w:t>
      </w:r>
      <w:r>
        <w:t xml:space="preserve"> </w:t>
      </w:r>
      <w:r>
        <w:t xml:space="preserve">interactions</w:t>
      </w:r>
      <w:r>
        <w:t xml:space="preserve"> </w:t>
      </w:r>
      <w:r>
        <w:t xml:space="preserve">can</w:t>
      </w:r>
      <w:r>
        <w:t xml:space="preserve"> </w:t>
      </w:r>
      <w:r>
        <w:t xml:space="preserve">aid</w:t>
      </w:r>
      <w:r>
        <w:t xml:space="preserve"> </w:t>
      </w:r>
      <w:r>
        <w:t xml:space="preserve">prediction</w:t>
      </w:r>
      <w:r>
        <w:t xml:space="preserve"> </w:t>
      </w:r>
      <w:r>
        <w:t xml:space="preserve">and</w:t>
      </w:r>
      <w:r>
        <w:t xml:space="preserve"> </w:t>
      </w:r>
      <w:r>
        <w:t xml:space="preserve">manipulation</w:t>
      </w:r>
      <w:r>
        <w:t xml:space="preserve"> </w:t>
      </w:r>
      <w:r>
        <w:t xml:space="preserve">of</w:t>
      </w:r>
      <w:r>
        <w:t xml:space="preserve"> </w:t>
      </w:r>
      <w:r>
        <w:t xml:space="preserve">phenological</w:t>
      </w:r>
      <w:r>
        <w:t xml:space="preserve"> </w:t>
      </w:r>
      <w:r>
        <w:t xml:space="preserve">timings.</w:t>
      </w:r>
      <w:r>
        <w:t xml:space="preserve"> </w:t>
      </w:r>
      <w:r>
        <w:t xml:space="preserve">Here,</w:t>
      </w:r>
      <w:r>
        <w:t xml:space="preserve"> </w:t>
      </w:r>
      <w:r>
        <w:t xml:space="preserve">we</w:t>
      </w:r>
      <w:r>
        <w:t xml:space="preserve"> </w:t>
      </w:r>
      <w:r>
        <w:t xml:space="preserve">map</w:t>
      </w:r>
      <w:r>
        <w:t xml:space="preserve"> </w:t>
      </w:r>
      <w:r>
        <w:t xml:space="preserve">GxWeather</w:t>
      </w:r>
      <w:r>
        <w:t xml:space="preserve"> </w:t>
      </w:r>
      <w:r>
        <w:t xml:space="preserve">effects</w:t>
      </w:r>
      <w:r>
        <w:t xml:space="preserve"> </w:t>
      </w:r>
      <w:r>
        <w:t xml:space="preserve">on</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from</w:t>
      </w:r>
      <w:r>
        <w:t xml:space="preserve"> </w:t>
      </w:r>
      <w:r>
        <w:t xml:space="preserve">these</w:t>
      </w:r>
      <w:r>
        <w:t xml:space="preserve"> </w:t>
      </w:r>
      <w:r>
        <w:t xml:space="preserve">populations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Some</w:t>
      </w:r>
      <w:r>
        <w:t xml:space="preserve"> </w:t>
      </w:r>
      <w:r>
        <w:t xml:space="preserve">genetic</w:t>
      </w:r>
      <w:r>
        <w:t xml:space="preserve"> </w:t>
      </w:r>
      <w:r>
        <w:t xml:space="preserve">effects</w:t>
      </w:r>
      <w:r>
        <w:t xml:space="preserve"> </w:t>
      </w:r>
      <w:r>
        <w:t xml:space="preserve">covary</w:t>
      </w:r>
      <w:r>
        <w:t xml:space="preserve"> </w:t>
      </w:r>
      <w:r>
        <w:t xml:space="preserve">with</w:t>
      </w:r>
      <w:r>
        <w:t xml:space="preserve"> </w:t>
      </w:r>
      <w:r>
        <w:t xml:space="preserve">interpretable</w:t>
      </w:r>
      <w:r>
        <w:t xml:space="preserve"> </w:t>
      </w:r>
      <w:r>
        <w:t xml:space="preserve">weather-based</w:t>
      </w:r>
      <w:r>
        <w:t xml:space="preserve"> </w:t>
      </w:r>
      <w:r>
        <w:t xml:space="preserve">cues.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seven</w:t>
      </w:r>
      <w:r>
        <w:t xml:space="preserve"> </w:t>
      </w:r>
      <w:r>
        <w:t xml:space="preserve">days</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is</w:t>
      </w:r>
      <w:r>
        <w:t xml:space="preserve"> </w:t>
      </w:r>
      <w:r>
        <w:t xml:space="preserve">site-specific</w:t>
      </w:r>
      <w:r>
        <w:t xml:space="preserve"> </w:t>
      </w:r>
      <w:r>
        <w:t xml:space="preserve">and</w:t>
      </w:r>
      <w:r>
        <w:t xml:space="preserve"> </w:t>
      </w:r>
      <w:r>
        <w:t xml:space="preserve">can</w:t>
      </w:r>
      <w:r>
        <w:t xml:space="preserve"> </w:t>
      </w:r>
      <w:r>
        <w:t xml:space="preserve">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the</w:t>
      </w:r>
      <w:r>
        <w:t xml:space="preserve"> </w:t>
      </w:r>
      <w:r>
        <w:t xml:space="preserve">studied</w:t>
      </w:r>
      <w:r>
        <w:t xml:space="preserve"> </w:t>
      </w:r>
      <w:r>
        <w:t xml:space="preserve">weather</w:t>
      </w:r>
      <w:r>
        <w:t xml:space="preserve"> </w:t>
      </w:r>
      <w:r>
        <w:t xml:space="preserve">variables.</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these</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the</w:t>
      </w:r>
      <w:r>
        <w:t xml:space="preserve"> </w:t>
      </w:r>
      <w:r>
        <w:t xml:space="preserve">GxWeather</w:t>
      </w:r>
      <w:r>
        <w:t xml:space="preserve"> </w:t>
      </w:r>
      <w:r>
        <w:t xml:space="preserve">loci</w:t>
      </w:r>
      <w:r>
        <w:t xml:space="preserve"> </w:t>
      </w:r>
      <w:r>
        <w:t xml:space="preserve">we</w:t>
      </w:r>
      <w:r>
        <w:t xml:space="preserve"> </w:t>
      </w:r>
      <w:r>
        <w:t xml:space="preserve">identified</w:t>
      </w:r>
      <w:r>
        <w:t xml:space="preserve"> </w:t>
      </w:r>
      <w:r>
        <w:t xml:space="preserve">could</w:t>
      </w:r>
      <w:r>
        <w:t xml:space="preserve"> </w:t>
      </w:r>
      <w:r>
        <w:t xml:space="preserve">change</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proposes</w:t>
      </w:r>
      <w:r>
        <w:t xml:space="preserve"> </w:t>
      </w:r>
      <w:r>
        <w:t xml:space="preserve">a</w:t>
      </w:r>
      <w:r>
        <w:t xml:space="preserve"> </w:t>
      </w:r>
      <w:r>
        <w:t xml:space="preserve">refined,</w:t>
      </w:r>
      <w:r>
        <w:t xml:space="preserve"> </w:t>
      </w:r>
      <w:r>
        <w:t xml:space="preserve">powerful</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p>
      <w:pPr>
        <w:pStyle w:val="FirstParagraph"/>
      </w:pPr>
      <w:r>
        <w:t xml:space="preserve">Plant phenological timings are major components of plant fitness affected by multiple external environmental cues (e.g. degree of winter chilling, day length, temperature, and water availability) that signal existing or upcoming growing conditions</w:t>
      </w:r>
      <w:r>
        <w:t xml:space="preserve"> </w:t>
      </w:r>
      <w:r>
        <w:t xml:space="preserve">(1–4)</w:t>
      </w:r>
      <w:r>
        <w:t xml:space="preserve">. Genetic responses to environmental cues determine the speed, timing, and energy apportioned to vegetative and reproductive growth and shape both the individual’s lifespan and its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usefulness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14–16)</w:t>
      </w:r>
      <w:r>
        <w:t xml:space="preserve">, and a selection target for crop improvement to adapt crops to local or future environments</w:t>
      </w:r>
      <w:r>
        <w:t xml:space="preserve"> </w:t>
      </w:r>
      <w:r>
        <w:t xml:space="preserve">(17)</w:t>
      </w:r>
      <w:r>
        <w:t xml:space="preserve">. Changing flowering responsiveness to photoperiod cues has allowed geographic range expansion and increased yields in several cereal species</w:t>
      </w:r>
      <w:r>
        <w:t xml:space="preserve"> </w:t>
      </w:r>
      <w:r>
        <w:t xml:space="preserve">(18–22)</w:t>
      </w:r>
      <w:r>
        <w:t xml:space="preserve"> </w:t>
      </w:r>
      <w:r>
        <w:t xml:space="preserve">and other crops</w:t>
      </w:r>
      <w:r>
        <w:t xml:space="preserve"> </w:t>
      </w:r>
      <w:r>
        <w:t xml:space="preserve">(23, 24)</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(25)</w:t>
      </w:r>
      <w:r>
        <w:t xml:space="preserve">. Additionally, despite theoretical predictions that local adaptation should involve antagonistic pleiotropy, or alleles with effects with opposing fitness outcomes</w:t>
      </w:r>
      <w:r>
        <w:t xml:space="preserve"> </w:t>
      </w:r>
      <w:r>
        <w:t xml:space="preserve">(26–29)</w:t>
      </w:r>
      <w:r>
        <w:t xml:space="preserve">, previous empirical work has found limited evidence of antagonistic pleiotropy</w:t>
      </w:r>
      <w:r>
        <w:t xml:space="preserve"> </w:t>
      </w:r>
      <w:r>
        <w:t xml:space="preserve">(14, 30, 31)</w:t>
      </w:r>
      <w:r>
        <w:t xml:space="preserve">. However, this work has been limited by a known statistical bias that reduced detection of genetic effects that differ in sign</w:t>
      </w:r>
      <w:r>
        <w:t xml:space="preserve"> </w:t>
      </w:r>
      <w:r>
        <w:t xml:space="preserve">(30, 32, 33)</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(34)</w:t>
      </w:r>
      <w:r>
        <w:t xml:space="preserve">. However, as part of its wide environmental adaptation across the eastern half of North America, its photoperiodicity has been predicted to differ by plant latitude of origin</w:t>
      </w:r>
      <w:r>
        <w:t xml:space="preserve"> </w:t>
      </w:r>
      <w:r>
        <w:t xml:space="preserve">(35, 36)</w:t>
      </w:r>
      <w:r>
        <w:t xml:space="preserve">. We previously found divergent Midwest and Gulf genetic subpopulations of switchgrass with distinct sets of environmental adaptations, in that both populations had distinct genetic variation associated with each of two fitness proxies, biomass and overwinter survival</w:t>
      </w:r>
      <w:r>
        <w:t xml:space="preserve"> </w:t>
      </w:r>
      <w:r>
        <w:t xml:space="preserve">(37)</w:t>
      </w:r>
      <w:r>
        <w:t xml:space="preserve">. The Midwest genetic subpopulation is primarily composed of individuals from the well-studied upland switchgrass ecotype</w:t>
      </w:r>
      <w:r>
        <w:t xml:space="preserve"> </w:t>
      </w:r>
      <w:r>
        <w:t xml:space="preserve">(38, 39)</w:t>
      </w:r>
      <w:r>
        <w:t xml:space="preserve">, while the Gulf subpopulation has individuals from the well-studied lowland ecotype and the phenotypically intermediate coastal ecotype</w:t>
      </w:r>
      <w:r>
        <w:t xml:space="preserve"> </w:t>
      </w:r>
      <w:r>
        <w:t xml:space="preserve">(37)</w:t>
      </w:r>
      <w:r>
        <w:t xml:space="preserve">.</w:t>
      </w:r>
    </w:p>
    <w:p>
      <w:pPr>
        <w:pStyle w:val="BodyText"/>
      </w:pPr>
      <w:r>
        <w:t xml:space="preserve">Here, we test for GxWeather for two phenological timings by assigning patterns of genetic effects on phenology at eight common gardens to many patterns of weather covariance at these gardens. To do this, we phenotype a diversity panel of hundreds of switchgrass genotypes from the Midwest and Gulf subpopulations for the timing of vegetative and reproductive development. We do this at eight common garden locations spanning 17 degrees of latitude: these gardens cover the majority of the latitudinal and climatic range of switchgrass and capture the most comprehensive picture to date of the environmental variation this species encounters. We define multiple ways phenological timings might covary with weather (Table 1) and additional ways phenological timings might vary by garden (SI Appendix, Section S1), then jointly re-estimate genetic effects on these timings at all eight common gardens using the set of these covariance matrices that significantly improved the modeled log-likelihood when included (SI Appendix, Section S2-S5)</w:t>
      </w:r>
      <w:r>
        <w:t xml:space="preserve"> </w:t>
      </w:r>
      <w:r>
        <w:t xml:space="preserve">(40)</w:t>
      </w:r>
      <w:r>
        <w:t xml:space="preserve">. We use the Bayesian framework</w:t>
      </w:r>
      <w:r>
        <w:t xml:space="preserve"> </w:t>
      </w:r>
      <w:r>
        <w:rPr>
          <w:iCs/>
          <w:i/>
        </w:rPr>
        <w:t xml:space="preserve">mash</w:t>
      </w:r>
      <w:r>
        <w:t xml:space="preserve"> </w:t>
      </w:r>
      <w:r>
        <w:t xml:space="preserve">(multivariate adaptive shrinkage) developed by</w:t>
      </w:r>
      <w:r>
        <w:t xml:space="preserve"> </w:t>
      </w:r>
      <w:r>
        <w:t xml:space="preserve">(40)</w:t>
      </w:r>
      <w:r>
        <w:t xml:space="preserve">, to refine effect size estimates from genome-wide association (GWAS).</w:t>
      </w:r>
      <w:r>
        <w:t xml:space="preserve"> </w:t>
      </w:r>
      <w:r>
        <w:rPr>
          <w:iCs/>
          <w:i/>
        </w:rPr>
        <w:t xml:space="preserve">Mash</w:t>
      </w:r>
      <w:r>
        <w:t xml:space="preserve"> </w:t>
      </w:r>
      <w:r>
        <w:t xml:space="preserve">allows us to identify and specify multiple covariance structures among genetic effect estimates across sites, including structures that represent covariance in weather variables of interest. Importantly, this method circumvents statistical biases in detecting genetic effects with the same or opposite signs</w:t>
      </w:r>
      <w:r>
        <w:t xml:space="preserve"> </w:t>
      </w:r>
      <w:r>
        <w:t xml:space="preserve">(41)</w:t>
      </w:r>
      <w:r>
        <w:t xml:space="preserve">. To confirm our genetic mapping of GxWeather, we compare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 us to describe the weather cues and types of GxE affecting phenology in two divergent natural populations of switchgrass across the species’ latitudinal range.</w:t>
      </w:r>
    </w:p>
    <w:bookmarkStart w:id="23" w:name="results"/>
    <w:p>
      <w:pPr>
        <w:pStyle w:val="Heading1"/>
      </w:pPr>
      <w:r>
        <w:t xml:space="preserve">Results</w:t>
      </w:r>
    </w:p>
    <w:p>
      <w:pPr>
        <w:pStyle w:val="FirstParagraph"/>
      </w:pPr>
      <w:r>
        <w:t xml:space="preserve">Genotypes from the Gulf and Midwest subpopulations had distinct phenological timings and distinct patterns of phenological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across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were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0"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effects might covary across our eight common gardens. We jointly re-estimated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and North gardens. In our data, daylength 14 days prior to green-up date has negative correlations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seconds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seen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w:t>
      </w:r>
    </w:p>
    <w:bookmarkEnd w:id="20"/>
    <w:bookmarkStart w:id="21"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(26–29)</w:t>
      </w:r>
      <w:r>
        <w:t xml:space="preserve">. To determine the frequency of rank-changing GxE, we used the local false sign rate (lfsr), an analogue of the lfdr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(&gt;85%) subpopulations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1"/>
    <w:bookmarkStart w:id="22"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(42)</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2"/>
    <w:bookmarkEnd w:id="23"/>
    <w:bookmarkStart w:id="24"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Here, we demonstrate that we can associate multiple patterns of GxWeather with specific genomic regions using a switchgrass diversity panel grown at eight common gardens. We can assign genetic effects to both GxWeather patterns with interpretable weather-based cues, and to unmeasured, site-based patterns. We use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antagonistic pleiotropy at the level of individual loci</w:t>
      </w:r>
      <w:r>
        <w:t xml:space="preserve"> </w:t>
      </w:r>
      <w:r>
        <w:t xml:space="preserve">(26–29)</w:t>
      </w:r>
      <w:r>
        <w:t xml:space="preserve">. In addition, it advances local adaptation research by using more than two field sites and a wide range of genetic variation to determine that rank-changing GxE for phenological timings is common in small genomic regions</w:t>
      </w:r>
      <w:r>
        <w:t xml:space="preserve"> </w:t>
      </w:r>
      <w:r>
        <w:t xml:space="preserve">(14, 43, 44)</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4"/>
    <w:bookmarkStart w:id="41" w:name="figures-and-tables"/>
    <w:p>
      <w:pPr>
        <w:pStyle w:val="Heading1"/>
      </w:pPr>
      <w:r>
        <w:t xml:space="preserve">Figures and Tables</w:t>
      </w:r>
    </w:p>
    <w:tbl>
      <w:tblPr>
        <w:tblStyle w:val="Table"/>
        <w:tblW w:type="pct" w:w="5000"/>
        <w:tblLook w:firstRow="0" w:lastRow="0" w:firstColumn="0" w:lastColumn="0" w:noHBand="0" w:noVBand="0" w:val="0000"/>
        <w:jc w:val="start"/>
        <w:tblLayout w:type="fixed"/>
      </w:tblPr>
      <w:tblGrid>
        <w:gridCol w:w="7920"/>
      </w:tblGrid>
      <w:tr>
        <w:tc>
          <w:tcPr/>
          <w:bookmarkStart w:id="28" w:name="fig-map"/>
          <w:p>
            <w:pPr>
              <w:pStyle w:val="Compact"/>
              <w:jc w:val="center"/>
            </w:pPr>
            <w:r>
              <w:drawing>
                <wp:inline>
                  <wp:extent cx="5334000" cy="5283103"/>
                  <wp:effectExtent b="0" l="0" r="0" t="0"/>
                  <wp:docPr descr="" title="" id="26" name="Picture"/>
                  <a:graphic>
                    <a:graphicData uri="http://schemas.openxmlformats.org/drawingml/2006/picture">
                      <pic:pic>
                        <pic:nvPicPr>
                          <pic:cNvPr descr="images/Figure_1_AB.png" id="27" name="Picture"/>
                          <pic:cNvPicPr>
                            <a:picLocks noChangeArrowheads="1" noChangeAspect="1"/>
                          </pic:cNvPicPr>
                        </pic:nvPicPr>
                        <pic:blipFill>
                          <a:blip r:embed="rId25"/>
                          <a:stretch>
                            <a:fillRect/>
                          </a:stretch>
                        </pic:blipFill>
                        <pic:spPr bwMode="auto">
                          <a:xfrm>
                            <a:off x="0" y="0"/>
                            <a:ext cx="5334000" cy="52831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2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fig-covar"/>
          <w:p>
            <w:pPr>
              <w:pStyle w:val="Compact"/>
              <w:jc w:val="center"/>
            </w:pPr>
            <w:r>
              <w:drawing>
                <wp:inline>
                  <wp:extent cx="5334000" cy="6154615"/>
                  <wp:effectExtent b="0" l="0" r="0" t="0"/>
                  <wp:docPr descr="" title="" id="30" name="Picture"/>
                  <a:graphic>
                    <a:graphicData uri="http://schemas.openxmlformats.org/drawingml/2006/picture">
                      <pic:pic>
                        <pic:nvPicPr>
                          <pic:cNvPr descr="images/Figure_2_six_sites_Midwest.png" id="31" name="Picture"/>
                          <pic:cNvPicPr>
                            <a:picLocks noChangeArrowheads="1" noChangeAspect="1"/>
                          </pic:cNvPicPr>
                        </pic:nvPicPr>
                        <pic:blipFill>
                          <a:blip r:embed="rId2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hypothesis-driven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hypothesized or canonical, for the (c) green-up date phenotype and (e) flowering date phenotype.</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effects"/>
          <w:p>
            <w:pPr>
              <w:pStyle w:val="Compact"/>
              <w:jc w:val="center"/>
            </w:pPr>
            <w:r>
              <w:drawing>
                <wp:inline>
                  <wp:extent cx="4158113" cy="5544151"/>
                  <wp:effectExtent b="0" l="0" r="0" t="0"/>
                  <wp:docPr descr="" title="" id="34" name="Picture"/>
                  <a:graphic>
                    <a:graphicData uri="http://schemas.openxmlformats.org/drawingml/2006/picture">
                      <pic:pic>
                        <pic:nvPicPr>
                          <pic:cNvPr descr="images/Figure_3_Fraction_GxE_by_Region_six_midwest_sites.png" id="35" name="Picture"/>
                          <pic:cNvPicPr>
                            <a:picLocks noChangeArrowheads="1" noChangeAspect="1"/>
                          </pic:cNvPicPr>
                        </pic:nvPicPr>
                        <pic:blipFill>
                          <a:blip r:embed="rId3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effects in eight common gardens, for effects with lfsr &lt; 0.05.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qtl"/>
          <w:p>
            <w:pPr>
              <w:pStyle w:val="Compact"/>
              <w:jc w:val="center"/>
            </w:pPr>
            <w:r>
              <w:drawing>
                <wp:inline>
                  <wp:extent cx="5334000" cy="7385538"/>
                  <wp:effectExtent b="0" l="0" r="0" t="0"/>
                  <wp:docPr descr="" title="" id="38" name="Picture"/>
                  <a:graphic>
                    <a:graphicData uri="http://schemas.openxmlformats.org/drawingml/2006/picture">
                      <pic:pic>
                        <pic:nvPicPr>
                          <pic:cNvPr descr="images/Figure_4_QTL_Overlaps_6_Midwest_Gardens.png" id="39" name="Picture"/>
                          <pic:cNvPicPr>
                            <a:picLocks noChangeArrowheads="1" noChangeAspect="1"/>
                          </pic:cNvPicPr>
                        </pic:nvPicPr>
                        <pic:blipFill>
                          <a:blip r:embed="rId3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40"/>
        </w:tc>
      </w:tr>
    </w:tbl>
    <w:bookmarkEnd w:id="41"/>
    <w:bookmarkStart w:id="45"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42">
        <w:r>
          <w:rPr>
            <w:rStyle w:val="Hyperlink"/>
          </w:rPr>
          <w:t xml:space="preserve">https://doi.org/10.18738/T8/A604BU</w:t>
        </w:r>
      </w:hyperlink>
      <w:r>
        <w:t xml:space="preserve">.</w:t>
      </w:r>
    </w:p>
    <w:bookmarkStart w:id="43"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(39, 44, 45)</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(37)</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(46)</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(37)</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(39)</w:t>
      </w:r>
      <w:r>
        <w:t xml:space="preserve">; additional details on QTL mapping can be found in SI Appendix, Section S7. To be directly comparable to the diversity panel data, only 2019 phenology data from the pseudo-F2 cross from the same eight common garden sites were used.</w:t>
      </w:r>
    </w:p>
    <w:bookmarkEnd w:id="43"/>
    <w:bookmarkStart w:id="44"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gardenes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(47)</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(lfdr) is a critical change in our ability to detect alleles directly contributing to rank-changing GxE between environments. The lfdr, like other measures of FDR, focuses on if we have enough evidence to reject the null hypothesis that an effect j is 0, or that there is a significant effect. Previous studies of antagonistic pleiotropy (e.g.</w:t>
      </w:r>
      <w:r>
        <w:t xml:space="preserve"> </w:t>
      </w:r>
      <w:r>
        <w:t xml:space="preserve">(44)</w:t>
      </w:r>
      <w:r>
        <w:t xml:space="preserve">) have used the lfdr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(30, 33)</w:t>
      </w:r>
      <w:r>
        <w:t xml:space="preserve">, and sought to reduce it by permutation</w:t>
      </w:r>
      <w:r>
        <w:t xml:space="preserve"> </w:t>
      </w:r>
      <w:r>
        <w:t xml:space="preserve">(32)</w:t>
      </w:r>
      <w:r>
        <w:t xml:space="preserve">. However, using the lfsr to test for allelic effects that differ in sign does not undercount these occurences,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(41)</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44"/>
    <w:bookmarkEnd w:id="45"/>
    <w:bookmarkStart w:id="104" w:name="references"/>
    <w:p>
      <w:pPr>
        <w:pStyle w:val="Heading1"/>
      </w:pPr>
      <w:r>
        <w:t xml:space="preserve">References</w:t>
      </w:r>
    </w:p>
    <w:p>
      <w:pPr>
        <w:pStyle w:val="FirstParagraph"/>
      </w:pPr>
    </w:p>
    <w:bookmarkStart w:id="103" w:name="refs"/>
    <w:bookmarkStart w:id="47"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46">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47"/>
    <w:bookmarkStart w:id="48"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48"/>
    <w:bookmarkStart w:id="49"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49"/>
    <w:bookmarkStart w:id="51" w:name="ref-maple2024"/>
    <w:p>
      <w:pPr>
        <w:pStyle w:val="Bibliography"/>
      </w:pPr>
      <w:r>
        <w:t xml:space="preserve">4.</w:t>
      </w:r>
      <w:r>
        <w:t xml:space="preserve"> </w:t>
      </w:r>
      <w:r>
        <w:t xml:space="preserve">	</w:t>
      </w:r>
      <w:r>
        <w:t xml:space="preserve">R. Maple, P. Zhu, J. Hepworth, J.-W. Wang, C. Dean,</w:t>
      </w:r>
      <w:r>
        <w:t xml:space="preserve"> </w:t>
      </w:r>
      <w:hyperlink r:id="rId50">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1"/>
    <w:bookmarkStart w:id="52"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2"/>
    <w:bookmarkStart w:id="53"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3"/>
    <w:bookmarkStart w:id="54"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54"/>
    <w:bookmarkStart w:id="55"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55"/>
    <w:bookmarkStart w:id="56"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56"/>
    <w:bookmarkStart w:id="57"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57"/>
    <w:bookmarkStart w:id="58"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58"/>
    <w:bookmarkStart w:id="59"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59"/>
    <w:bookmarkStart w:id="61"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0">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1"/>
    <w:bookmarkStart w:id="62" w:name="ref-wadgymar2017identifying"/>
    <w:p>
      <w:pPr>
        <w:pStyle w:val="Bibliography"/>
      </w:pPr>
      <w:r>
        <w:t xml:space="preserve">14.</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62"/>
    <w:bookmarkStart w:id="63" w:name="ref-blumel2015flowering"/>
    <w:p>
      <w:pPr>
        <w:pStyle w:val="Bibliography"/>
      </w:pPr>
      <w:r>
        <w:t xml:space="preserve">15.</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63"/>
    <w:bookmarkStart w:id="65" w:name="ref-fournier-level2016"/>
    <w:p>
      <w:pPr>
        <w:pStyle w:val="Bibliography"/>
      </w:pPr>
      <w:r>
        <w:t xml:space="preserve">16.</w:t>
      </w:r>
      <w:r>
        <w:t xml:space="preserve"> </w:t>
      </w:r>
      <w:r>
        <w:t xml:space="preserve">	</w:t>
      </w:r>
      <w:r>
        <w:t xml:space="preserve">A. Fournier-Level,</w:t>
      </w:r>
      <w:r>
        <w:t xml:space="preserve"> </w:t>
      </w:r>
      <w:r>
        <w:rPr>
          <w:iCs/>
          <w:i/>
        </w:rPr>
        <w:t xml:space="preserve">et al.</w:t>
      </w:r>
      <w:r>
        <w:t xml:space="preserve">,</w:t>
      </w:r>
      <w:r>
        <w:t xml:space="preserve"> </w:t>
      </w:r>
      <w:hyperlink r:id="rId64">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65"/>
    <w:bookmarkStart w:id="66" w:name="ref-jung2009flowering"/>
    <w:p>
      <w:pPr>
        <w:pStyle w:val="Bibliography"/>
      </w:pPr>
      <w:r>
        <w:t xml:space="preserve">17.</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66"/>
    <w:bookmarkStart w:id="67" w:name="ref-turner2005pseudo"/>
    <w:p>
      <w:pPr>
        <w:pStyle w:val="Bibliography"/>
      </w:pPr>
      <w:r>
        <w:t xml:space="preserve">18.</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67"/>
    <w:bookmarkStart w:id="68" w:name="ref-faure2012mutation"/>
    <w:p>
      <w:pPr>
        <w:pStyle w:val="Bibliography"/>
      </w:pPr>
      <w:r>
        <w:t xml:space="preserve">19.</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68"/>
    <w:bookmarkStart w:id="69" w:name="ref-hung2012zmcct"/>
    <w:p>
      <w:pPr>
        <w:pStyle w:val="Bibliography"/>
      </w:pPr>
      <w:r>
        <w:t xml:space="preserve">20.</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69"/>
    <w:bookmarkStart w:id="70" w:name="ref-zakhrabekova2012induced"/>
    <w:p>
      <w:pPr>
        <w:pStyle w:val="Bibliography"/>
      </w:pPr>
      <w:r>
        <w:t xml:space="preserve">21.</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0"/>
    <w:bookmarkStart w:id="71" w:name="ref-yang2013oself3"/>
    <w:p>
      <w:pPr>
        <w:pStyle w:val="Bibliography"/>
      </w:pPr>
      <w:r>
        <w:t xml:space="preserve">22.</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1"/>
    <w:bookmarkStart w:id="72" w:name="ref-pin2012multifaceted"/>
    <w:p>
      <w:pPr>
        <w:pStyle w:val="Bibliography"/>
      </w:pPr>
      <w:r>
        <w:t xml:space="preserve">23.</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72"/>
    <w:bookmarkStart w:id="73" w:name="ref-weller2019parallel"/>
    <w:p>
      <w:pPr>
        <w:pStyle w:val="Bibliography"/>
      </w:pPr>
      <w:r>
        <w:t xml:space="preserve">24.</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73"/>
    <w:bookmarkStart w:id="75" w:name="ref-Weine2023.06.21.545998"/>
    <w:p>
      <w:pPr>
        <w:pStyle w:val="Bibliography"/>
      </w:pPr>
      <w:r>
        <w:t xml:space="preserve">25.</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74">
        <w:r>
          <w:rPr>
            <w:rStyle w:val="Hyperlink"/>
          </w:rPr>
          <w:t xml:space="preserve">10.1101/2023.06.21.545998</w:t>
        </w:r>
      </w:hyperlink>
      <w:r>
        <w:t xml:space="preserve">.</w:t>
      </w:r>
    </w:p>
    <w:bookmarkEnd w:id="75"/>
    <w:bookmarkStart w:id="76" w:name="ref-levene1953genetic"/>
    <w:p>
      <w:pPr>
        <w:pStyle w:val="Bibliography"/>
      </w:pPr>
      <w:r>
        <w:t xml:space="preserve">26.</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76"/>
    <w:bookmarkStart w:id="77" w:name="ref-felsenstein1976theoretical"/>
    <w:p>
      <w:pPr>
        <w:pStyle w:val="Bibliography"/>
      </w:pPr>
      <w:r>
        <w:t xml:space="preserve">27.</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77"/>
    <w:bookmarkStart w:id="78" w:name="ref-kawecki2004conceptual"/>
    <w:p>
      <w:pPr>
        <w:pStyle w:val="Bibliography"/>
      </w:pPr>
      <w:r>
        <w:t xml:space="preserve">28.</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78"/>
    <w:bookmarkStart w:id="79" w:name="ref-hedrick1986genetic"/>
    <w:p>
      <w:pPr>
        <w:pStyle w:val="Bibliography"/>
      </w:pPr>
      <w:r>
        <w:t xml:space="preserve">29.</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79"/>
    <w:bookmarkStart w:id="80" w:name="ref-des2013genotype"/>
    <w:p>
      <w:pPr>
        <w:pStyle w:val="Bibliography"/>
      </w:pPr>
      <w:r>
        <w:t xml:space="preserve">30.</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0"/>
    <w:bookmarkStart w:id="82" w:name="ref-millet2016"/>
    <w:p>
      <w:pPr>
        <w:pStyle w:val="Bibliography"/>
      </w:pPr>
      <w:r>
        <w:t xml:space="preserve">31.</w:t>
      </w:r>
      <w:r>
        <w:t xml:space="preserve"> </w:t>
      </w:r>
      <w:r>
        <w:t xml:space="preserve">	</w:t>
      </w:r>
      <w:r>
        <w:t xml:space="preserve">E. Millet,</w:t>
      </w:r>
      <w:r>
        <w:t xml:space="preserve"> </w:t>
      </w:r>
      <w:r>
        <w:rPr>
          <w:iCs/>
          <w:i/>
        </w:rPr>
        <w:t xml:space="preserve">et al.</w:t>
      </w:r>
      <w:r>
        <w:t xml:space="preserve">,</w:t>
      </w:r>
      <w:r>
        <w:t xml:space="preserve"> </w:t>
      </w:r>
      <w:hyperlink r:id="rId81">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82"/>
    <w:bookmarkStart w:id="83" w:name="ref-anderson2013genetic"/>
    <w:p>
      <w:pPr>
        <w:pStyle w:val="Bibliography"/>
      </w:pPr>
      <w:r>
        <w:t xml:space="preserve">32.</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83"/>
    <w:bookmarkStart w:id="84" w:name="ref-anderson2011evolutionary"/>
    <w:p>
      <w:pPr>
        <w:pStyle w:val="Bibliography"/>
      </w:pPr>
      <w:r>
        <w:t xml:space="preserve">33.</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84"/>
    <w:bookmarkStart w:id="85" w:name="ref-mitchell1997predicting"/>
    <w:p>
      <w:pPr>
        <w:pStyle w:val="Bibliography"/>
      </w:pPr>
      <w:r>
        <w:t xml:space="preserve">34.</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85"/>
    <w:bookmarkStart w:id="86" w:name="ref-parrish2005biology"/>
    <w:p>
      <w:pPr>
        <w:pStyle w:val="Bibliography"/>
      </w:pPr>
      <w:r>
        <w:t xml:space="preserve">35.</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86"/>
    <w:bookmarkStart w:id="87" w:name="ref-casler2004latitudinal"/>
    <w:p>
      <w:pPr>
        <w:pStyle w:val="Bibliography"/>
      </w:pPr>
      <w:r>
        <w:t xml:space="preserve">36.</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87"/>
    <w:bookmarkStart w:id="88" w:name="ref-lovell2021genomic"/>
    <w:p>
      <w:pPr>
        <w:pStyle w:val="Bibliography"/>
      </w:pPr>
      <w:r>
        <w:t xml:space="preserve">37.</w:t>
      </w:r>
      <w:r>
        <w:t xml:space="preserve"> </w:t>
      </w:r>
      <w:r>
        <w:t xml:space="preserve">	</w:t>
      </w:r>
      <w:r>
        <w:t xml:space="preserve">J. T. Lovell,</w:t>
      </w:r>
      <w:r>
        <w:t xml:space="preserve"> </w:t>
      </w:r>
      <w:r>
        <w:rPr>
          <w:iCs/>
          <w:i/>
        </w:rPr>
        <w:t xml:space="preserve">et al.</w:t>
      </w:r>
      <w:r>
        <w:t xml:space="preserve">, Genomic mechanisms of climate adaptation in polyploid bioenergy switchgrass.</w:t>
      </w:r>
      <w:r>
        <w:t xml:space="preserve"> </w:t>
      </w:r>
      <w:r>
        <w:rPr>
          <w:iCs/>
          <w:i/>
        </w:rPr>
        <w:t xml:space="preserve">Nature</w:t>
      </w:r>
      <w:r>
        <w:t xml:space="preserve"> </w:t>
      </w:r>
      <w:r>
        <w:rPr>
          <w:bCs/>
          <w:b/>
        </w:rPr>
        <w:t xml:space="preserve">590</w:t>
      </w:r>
      <w:r>
        <w:t xml:space="preserve">, 438–444 (2021).</w:t>
      </w:r>
    </w:p>
    <w:bookmarkEnd w:id="88"/>
    <w:bookmarkStart w:id="89" w:name="ref-porter1966analysis"/>
    <w:p>
      <w:pPr>
        <w:pStyle w:val="Bibliography"/>
      </w:pPr>
      <w:r>
        <w:t xml:space="preserve">38.</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89"/>
    <w:bookmarkStart w:id="90" w:name="ref-milano2016genetic"/>
    <w:p>
      <w:pPr>
        <w:pStyle w:val="Bibliography"/>
      </w:pPr>
      <w:r>
        <w:t xml:space="preserve">39.</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0"/>
    <w:bookmarkStart w:id="91" w:name="ref-urbut2019flexible"/>
    <w:p>
      <w:pPr>
        <w:pStyle w:val="Bibliography"/>
      </w:pPr>
      <w:r>
        <w:t xml:space="preserve">40.</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91"/>
    <w:bookmarkStart w:id="93" w:name="ref-10.1093/biostatistics/kxw041"/>
    <w:p>
      <w:pPr>
        <w:pStyle w:val="Bibliography"/>
      </w:pPr>
      <w:r>
        <w:t xml:space="preserve">41.</w:t>
      </w:r>
      <w:r>
        <w:t xml:space="preserve"> </w:t>
      </w:r>
      <w:r>
        <w:t xml:space="preserve">	</w:t>
      </w:r>
      <w:r>
        <w:t xml:space="preserve">M. Stephens,</w:t>
      </w:r>
      <w:r>
        <w:t xml:space="preserve"> </w:t>
      </w:r>
      <w:hyperlink r:id="rId92">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93"/>
    <w:bookmarkStart w:id="95" w:name="ref-choi2023"/>
    <w:p>
      <w:pPr>
        <w:pStyle w:val="Bibliography"/>
      </w:pPr>
      <w:r>
        <w:t xml:space="preserve">42.</w:t>
      </w:r>
      <w:r>
        <w:t xml:space="preserve"> </w:t>
      </w:r>
      <w:r>
        <w:t xml:space="preserve">	</w:t>
      </w:r>
      <w:r>
        <w:t xml:space="preserve">S. Choi,</w:t>
      </w:r>
      <w:r>
        <w:t xml:space="preserve"> </w:t>
      </w:r>
      <w:r>
        <w:rPr>
          <w:iCs/>
          <w:i/>
        </w:rPr>
        <w:t xml:space="preserve">et al.</w:t>
      </w:r>
      <w:r>
        <w:t xml:space="preserve">,</w:t>
      </w:r>
      <w:r>
        <w:t xml:space="preserve"> </w:t>
      </w:r>
      <w:hyperlink r:id="rId94">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95"/>
    <w:bookmarkStart w:id="96" w:name="ref-savolainen2013ecological"/>
    <w:p>
      <w:pPr>
        <w:pStyle w:val="Bibliography"/>
      </w:pPr>
      <w:r>
        <w:t xml:space="preserve">43.</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96"/>
    <w:bookmarkStart w:id="97" w:name="ref-lowry2019qtl"/>
    <w:p>
      <w:pPr>
        <w:pStyle w:val="Bibliography"/>
      </w:pPr>
      <w:r>
        <w:t xml:space="preserve">44.</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97"/>
    <w:bookmarkStart w:id="99" w:name="ref-lovell2021"/>
    <w:p>
      <w:pPr>
        <w:pStyle w:val="Bibliography"/>
      </w:pPr>
      <w:r>
        <w:t xml:space="preserve">45.</w:t>
      </w:r>
      <w:r>
        <w:t xml:space="preserve"> </w:t>
      </w:r>
      <w:r>
        <w:t xml:space="preserve">	</w:t>
      </w:r>
      <w:r>
        <w:t xml:space="preserve">J. T. Lovell,</w:t>
      </w:r>
      <w:r>
        <w:t xml:space="preserve"> </w:t>
      </w:r>
      <w:r>
        <w:rPr>
          <w:iCs/>
          <w:i/>
        </w:rPr>
        <w:t xml:space="preserve">et al.</w:t>
      </w:r>
      <w:r>
        <w:t xml:space="preserve">,</w:t>
      </w:r>
      <w:r>
        <w:t xml:space="preserve"> </w:t>
      </w:r>
      <w:hyperlink r:id="rId98">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9"/>
    <w:bookmarkStart w:id="100" w:name="ref-kortefarlow2013"/>
    <w:p>
      <w:pPr>
        <w:pStyle w:val="Bibliography"/>
      </w:pPr>
      <w:r>
        <w:t xml:space="preserve">46.</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0"/>
    <w:bookmarkStart w:id="102" w:name="ref-privé2017"/>
    <w:p>
      <w:pPr>
        <w:pStyle w:val="Bibliography"/>
      </w:pPr>
      <w:r>
        <w:t xml:space="preserve">47.</w:t>
      </w:r>
      <w:r>
        <w:t xml:space="preserve"> </w:t>
      </w:r>
      <w:r>
        <w:t xml:space="preserve">	</w:t>
      </w:r>
      <w:r>
        <w:t xml:space="preserve">F. Privé, H. Aschard, M. G. B. Blum,</w:t>
      </w:r>
      <w:r>
        <w:t xml:space="preserve"> </w:t>
      </w:r>
      <w:hyperlink r:id="rId101">
        <w:r>
          <w:rPr>
            <w:rStyle w:val="Hyperlink"/>
          </w:rPr>
          <w:t xml:space="preserve">Efficient management and analysis of large-scale genome-wide data with two r packages: Bigstatsr and bigsnpr</w:t>
        </w:r>
      </w:hyperlink>
      <w:r>
        <w:t xml:space="preserve"> </w:t>
      </w:r>
      <w:r>
        <w:t xml:space="preserve">(2017).</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1" Target="http://dx.doi.org/10.1101/190926" TargetMode="External" /><Relationship Type="http://schemas.openxmlformats.org/officeDocument/2006/relationships/hyperlink" Id="rId98"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4" Target="https://doi.org/10.1073/pnas.1517456113" TargetMode="External" /><Relationship Type="http://schemas.openxmlformats.org/officeDocument/2006/relationships/hyperlink" Id="rId92" Target="https://doi.org/10.1093/biostatistics/kxw041" TargetMode="External" /><Relationship Type="http://schemas.openxmlformats.org/officeDocument/2006/relationships/hyperlink" Id="rId94"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4" Target="https://doi.org/10.1101/2023.06.21.545998" TargetMode="External" /><Relationship Type="http://schemas.openxmlformats.org/officeDocument/2006/relationships/hyperlink" Id="rId81"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42"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01" Target="http://dx.doi.org/10.1101/190926" TargetMode="External" /><Relationship Type="http://schemas.openxmlformats.org/officeDocument/2006/relationships/hyperlink" Id="rId98"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4" Target="https://doi.org/10.1073/pnas.1517456113" TargetMode="External" /><Relationship Type="http://schemas.openxmlformats.org/officeDocument/2006/relationships/hyperlink" Id="rId92" Target="https://doi.org/10.1093/biostatistics/kxw041" TargetMode="External" /><Relationship Type="http://schemas.openxmlformats.org/officeDocument/2006/relationships/hyperlink" Id="rId94"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4" Target="https://doi.org/10.1101/2023.06.21.545998" TargetMode="External" /><Relationship Type="http://schemas.openxmlformats.org/officeDocument/2006/relationships/hyperlink" Id="rId81"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42"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A. Smith; Jason Bonnette; Arvid R. Boe; Phillip A. Fay; Felix B. Fritschi; David B. Lowry; Robert B. Mitchell; Francis M. Rouquette Jr; Yanqi Wu; Arbel Harpak; Thomas E. Juenger</dc:creator>
  <cp:keywords>allele-by-environment effect variation, rank-changing genotype-by-environment interaction, photoperiod, cumulative rainfall, genetic variation</cp:keywords>
  <dcterms:created xsi:type="dcterms:W3CDTF">2024-07-16T16:25:28Z</dcterms:created>
  <dcterms:modified xsi:type="dcterms:W3CDTF">2024-07-16T16:25:28Z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depends on genetic effects, environmental (e.g., weather) cues, and possibly their interaction. Quantifying these GxWeather interactions can aid prediction and manipulation of phenological timings. Here, we map GxWeather effects on phenological timings in two highly divergent switchgrass (Panicum virgatum) populations using repeated plantings of cloned individuals from these populations at eight sites across the central United States. Some genetic effects covary with interpretable weather-based cues. For example, in the Gulf population, 65% of genetic effects on the timing of vegetative growth covary with daylength 14 days prior to green-up date, and 33% of genetic effects on the timing of flowering covary with cumulative rainfall in the seven days prior to flowering. However, most variation in genetic effects is site-specific and can not be attributed to variation in the studied weather variables. We demonstrate that we can identify genetic variation with GxWeather and assign these loci to specific weather-based cues or other patterns. Breeding for particular alleles at the GxWeather loci we identified could change flowering responsiveness in a photoperiod or rainfall-specific way. More broadly, our approach proposes a refined, powerful characterization of genotype-by-environment interactions in any species phenotyped in multiple environments.</vt:lpwstr>
  </property>
  <property fmtid="{D5CDD505-2E9C-101B-9397-08002B2CF9AE}" pid="3" name="acknowledgements">
    <vt:lpwstr>We thank the Brackenridge Field laboratory, the Ladybird Johnson Wildflower Center, and the Juenger laboratory for support with plant care and propagation. This material is based upon work supported in part by the Great Lakes Bioenergy Research Center, U.S. Department of Energy, Office of Science, Office of Biological and Environmental Research under Award Numbers DE-SC0018409 and DE-FC02-07ER64494, the US Department of Energy Awards DESC0014156 to T.E.J., DE-SC0017883 to D.B.L, National Science Foundation PGRP Awards IOS0922457 and IOS1444533 to T.E.J, and the Long-term Ecological Research Program (DEB 1832042) at the Kellogg Biological Station.</vt:lpwstr>
  </property>
  <property fmtid="{D5CDD505-2E9C-101B-9397-08002B2CF9AE}" pid="4" name="affiliations">
    <vt:lpwstr/>
  </property>
  <property fmtid="{D5CDD505-2E9C-101B-9397-08002B2CF9AE}" pid="5" name="author_contributions">
    <vt:lpwstr>T.E.J. designed research. D.B.L. contributed plant material and resources. J.B., D.B.L., and T.E.J. designed and executed field experiments. A.R.B., P.A.F., F.B.F., D.B.L., R.B.M., F.M.R., Y.W., and T.E.J. hosted field experiments. A.H.M., L.Z., and S.A.S. conducted statistical and computational analyses. The manuscript was written by A.H.M. with contributions from all authors.</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ffiliation">
    <vt:lpwstr/>
  </property>
  <property fmtid="{D5CDD505-2E9C-101B-9397-08002B2CF9AE}" pid="10" name="by-author">
    <vt:lpwstr/>
  </property>
  <property fmtid="{D5CDD505-2E9C-101B-9397-08002B2CF9AE}" pid="11" name="classoption">
    <vt:lpwstr/>
  </property>
  <property fmtid="{D5CDD505-2E9C-101B-9397-08002B2CF9AE}" pid="12" name="conflict_of_interest">
    <vt:lpwstr>The authors declare no conflicts of interest.</vt:lpwstr>
  </property>
  <property fmtid="{D5CDD505-2E9C-101B-9397-08002B2CF9AE}" pid="13" name="csl">
    <vt:lpwstr>pnas.csl</vt:lpwstr>
  </property>
  <property fmtid="{D5CDD505-2E9C-101B-9397-08002B2CF9AE}" pid="14" name="equal-contributor">
    <vt:lpwstr>A.H.M. contributed equally to this work with L.Z. and S.A.S.</vt:lpwstr>
  </property>
  <property fmtid="{D5CDD505-2E9C-101B-9397-08002B2CF9AE}" pid="15" name="fontsize">
    <vt:lpwstr>9pt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runningauthor">
    <vt:lpwstr>MacQueen</vt:lpwstr>
  </property>
  <property fmtid="{D5CDD505-2E9C-101B-9397-08002B2CF9AE}" pid="21" name="significance">
    <vt:lpwstr>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vt:lpwstr>
  </property>
  <property fmtid="{D5CDD505-2E9C-101B-9397-08002B2CF9AE}" pid="22" name="toc-title">
    <vt:lpwstr>Table of contents</vt:lpwstr>
  </property>
</Properties>
</file>