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8E2D" w14:textId="257C8EAA" w:rsidR="00DE2354" w:rsidRPr="00834610" w:rsidRDefault="00EF70DA">
      <w:pPr>
        <w:rPr>
          <w:b/>
          <w:bCs/>
          <w:i/>
          <w:iCs/>
        </w:rPr>
      </w:pPr>
      <w:r w:rsidRPr="00834610">
        <w:rPr>
          <w:b/>
          <w:bCs/>
          <w:i/>
          <w:iCs/>
        </w:rPr>
        <w:t>Genome-wide association methodology</w:t>
      </w:r>
    </w:p>
    <w:p w14:paraId="3679D3F2" w14:textId="34BBF3D4" w:rsidR="00EF70DA" w:rsidRDefault="00EF70DA" w:rsidP="00EF70DA">
      <w:pPr>
        <w:ind w:firstLine="720"/>
      </w:pPr>
      <w:r>
        <w:t xml:space="preserve">During the previous grant funding period, we gathered datasets for genome-wide association </w:t>
      </w:r>
      <w:r w:rsidR="007C1341">
        <w:t xml:space="preserve">(GWAS) </w:t>
      </w:r>
      <w:r>
        <w:t xml:space="preserve">that were very large – dozens of phenotypes collected at ten sites for hundreds of individuals genotyped at tens of millions of SNPs. Commonly used plant genome-wide association software did not perform well </w:t>
      </w:r>
      <w:r w:rsidR="007C1341">
        <w:t>with datasets of this size. GAPIT</w:t>
      </w:r>
      <w:r w:rsidR="0064695F">
        <w:t xml:space="preserve"> </w:t>
      </w:r>
      <w:r w:rsidR="00B30554">
        <w:t>cannot fit the</w:t>
      </w:r>
      <w:r w:rsidR="0064695F">
        <w:t xml:space="preserve"> </w:t>
      </w:r>
      <w:r w:rsidR="00B30554">
        <w:t xml:space="preserve">switchgrass SNP file into </w:t>
      </w:r>
      <w:r w:rsidR="0064695F">
        <w:t xml:space="preserve">working </w:t>
      </w:r>
      <w:r w:rsidR="00B30554">
        <w:t>memory</w:t>
      </w:r>
      <w:r w:rsidR="007C1341">
        <w:t xml:space="preserve">, while TASSEL </w:t>
      </w:r>
      <w:r w:rsidR="00B30554">
        <w:t xml:space="preserve">takes </w:t>
      </w:r>
      <w:r w:rsidR="007C1341">
        <w:t>~</w:t>
      </w:r>
      <w:r w:rsidR="00B30554">
        <w:t>3</w:t>
      </w:r>
      <w:r w:rsidR="007C1341">
        <w:t xml:space="preserve">0 minutes </w:t>
      </w:r>
      <w:r w:rsidR="00B30554">
        <w:t xml:space="preserve">of computational time per million SNPs </w:t>
      </w:r>
      <w:r w:rsidR="007C1341">
        <w:t>to run a GWAS for a single phenotype. Due to the large sizes of our common garden datasets, we developed a new pipeline</w:t>
      </w:r>
      <w:r w:rsidR="00C62C46">
        <w:t xml:space="preserve">, the </w:t>
      </w:r>
      <w:proofErr w:type="spellStart"/>
      <w:r w:rsidR="00C62C46">
        <w:t>switchgrassGWAS</w:t>
      </w:r>
      <w:proofErr w:type="spellEnd"/>
      <w:r w:rsidR="00C62C46">
        <w:t xml:space="preserve"> R package</w:t>
      </w:r>
      <w:r w:rsidR="00513AD2">
        <w:t xml:space="preserve"> (hereafter {</w:t>
      </w:r>
      <w:proofErr w:type="spellStart"/>
      <w:r w:rsidR="00513AD2">
        <w:t>switchgrassGWAS</w:t>
      </w:r>
      <w:proofErr w:type="spellEnd"/>
      <w:r w:rsidR="00513AD2">
        <w:t>}</w:t>
      </w:r>
      <w:r w:rsidR="00C62C46">
        <w:t>,</w:t>
      </w:r>
      <w:r w:rsidR="007C1341">
        <w:t xml:space="preserve"> to </w:t>
      </w:r>
      <w:r w:rsidR="00C62C46">
        <w:t xml:space="preserve">1) </w:t>
      </w:r>
      <w:r w:rsidR="007C1341">
        <w:t xml:space="preserve">allow fast, less memory intensive GWAS on the </w:t>
      </w:r>
      <w:r w:rsidR="007C1341">
        <w:rPr>
          <w:i/>
          <w:iCs/>
        </w:rPr>
        <w:t>Panicum virgatum</w:t>
      </w:r>
      <w:r w:rsidR="007C1341">
        <w:t xml:space="preserve"> diversity panel, </w:t>
      </w:r>
      <w:r w:rsidR="00C62C46">
        <w:t>and</w:t>
      </w:r>
      <w:r w:rsidR="007C1341">
        <w:t xml:space="preserve"> </w:t>
      </w:r>
      <w:r w:rsidR="00C62C46">
        <w:t xml:space="preserve">2) </w:t>
      </w:r>
      <w:r w:rsidR="007C1341">
        <w:t xml:space="preserve">to analyze the extent to which SNP effects are similar or different </w:t>
      </w:r>
      <w:r w:rsidR="0075291B">
        <w:t>for phenotypes measured at different sites.</w:t>
      </w:r>
    </w:p>
    <w:p w14:paraId="44075D62" w14:textId="076F6749" w:rsidR="00B30554" w:rsidRDefault="00C62C46" w:rsidP="00EF70DA">
      <w:pPr>
        <w:ind w:firstLine="720"/>
      </w:pPr>
      <w:r>
        <w:t xml:space="preserve">The goal of </w:t>
      </w:r>
      <w:r w:rsidR="00513AD2">
        <w:t>{</w:t>
      </w:r>
      <w:proofErr w:type="spellStart"/>
      <w:r w:rsidR="00513AD2">
        <w:t>switchgrassGWAS</w:t>
      </w:r>
      <w:proofErr w:type="spellEnd"/>
      <w:r w:rsidR="00513AD2">
        <w:t xml:space="preserve">} </w:t>
      </w:r>
      <w:r w:rsidR="00B61459">
        <w:t>is</w:t>
      </w:r>
      <w:r>
        <w:t xml:space="preserve"> to provide clearly documented software resources for researchers using the </w:t>
      </w:r>
      <w:r>
        <w:rPr>
          <w:i/>
          <w:iCs/>
        </w:rPr>
        <w:t>Panicum virgatum</w:t>
      </w:r>
      <w:r>
        <w:t xml:space="preserve"> diversity panel for GWAS</w:t>
      </w:r>
      <w:r>
        <w:t>,</w:t>
      </w:r>
      <w:r>
        <w:t xml:space="preserve"> analyses of pleiotropy</w:t>
      </w:r>
      <w:r>
        <w:t>, and analyses of</w:t>
      </w:r>
      <w:r>
        <w:t xml:space="preserve"> GxE.</w:t>
      </w:r>
      <w:r>
        <w:t xml:space="preserve"> </w:t>
      </w:r>
      <w:r w:rsidR="00513AD2">
        <w:t>{</w:t>
      </w:r>
      <w:proofErr w:type="spellStart"/>
      <w:r w:rsidR="00513AD2">
        <w:t>switchgrassGWAS</w:t>
      </w:r>
      <w:proofErr w:type="spellEnd"/>
      <w:r w:rsidR="00513AD2">
        <w:t xml:space="preserve">} </w:t>
      </w:r>
      <w:r>
        <w:t xml:space="preserve">depends on the </w:t>
      </w:r>
      <w:proofErr w:type="spellStart"/>
      <w:r w:rsidR="0075291B">
        <w:t>bigsnpr</w:t>
      </w:r>
      <w:proofErr w:type="spellEnd"/>
      <w:r w:rsidR="0075291B">
        <w:t xml:space="preserve"> </w:t>
      </w:r>
      <w:r>
        <w:t>R package</w:t>
      </w:r>
      <w:r w:rsidR="00513AD2">
        <w:t xml:space="preserve"> (hereafter {</w:t>
      </w:r>
      <w:proofErr w:type="spellStart"/>
      <w:r w:rsidR="00513AD2">
        <w:t>bigsnpr</w:t>
      </w:r>
      <w:proofErr w:type="spellEnd"/>
      <w:r w:rsidR="00513AD2">
        <w:t>})</w:t>
      </w:r>
      <w:r>
        <w:t xml:space="preserve"> </w:t>
      </w:r>
      <w:r w:rsidR="0075291B">
        <w:t xml:space="preserve">to run GWAS on single phenotypes at single </w:t>
      </w:r>
      <w:proofErr w:type="gramStart"/>
      <w:r w:rsidR="0075291B">
        <w:t>sites,</w:t>
      </w:r>
      <w:r>
        <w:t xml:space="preserve"> and</w:t>
      </w:r>
      <w:proofErr w:type="gramEnd"/>
      <w:r>
        <w:t xml:space="preserve"> depends on the </w:t>
      </w:r>
      <w:proofErr w:type="spellStart"/>
      <w:r>
        <w:t>mashr</w:t>
      </w:r>
      <w:proofErr w:type="spellEnd"/>
      <w:r>
        <w:t xml:space="preserve"> R package</w:t>
      </w:r>
      <w:r w:rsidR="00513AD2">
        <w:t xml:space="preserve"> (hereafter {</w:t>
      </w:r>
      <w:proofErr w:type="spellStart"/>
      <w:r w:rsidR="00513AD2">
        <w:t>mashr</w:t>
      </w:r>
      <w:proofErr w:type="spellEnd"/>
      <w:r w:rsidR="00513AD2">
        <w:t>})</w:t>
      </w:r>
      <w:r>
        <w:t xml:space="preserve"> to</w:t>
      </w:r>
      <w:r w:rsidR="0075291B">
        <w:t xml:space="preserve"> combine estimates of SNP effects across sites.</w:t>
      </w:r>
      <w:r w:rsidR="00A73855">
        <w:t xml:space="preserve"> </w:t>
      </w:r>
      <w:r w:rsidR="00513AD2">
        <w:t>{</w:t>
      </w:r>
      <w:proofErr w:type="spellStart"/>
      <w:r w:rsidR="00513AD2">
        <w:t>switchgrassGWAS</w:t>
      </w:r>
      <w:proofErr w:type="spellEnd"/>
      <w:r w:rsidR="00513AD2">
        <w:t xml:space="preserve">} </w:t>
      </w:r>
      <w:r w:rsidR="00A73855">
        <w:t>is</w:t>
      </w:r>
      <w:r w:rsidR="00B30554">
        <w:t xml:space="preserve"> a </w:t>
      </w:r>
      <w:r w:rsidR="00B30554">
        <w:t xml:space="preserve">wrapper around these packages </w:t>
      </w:r>
      <w:r>
        <w:t>that</w:t>
      </w:r>
      <w:r w:rsidR="00A73855">
        <w:t xml:space="preserve"> is </w:t>
      </w:r>
      <w:r w:rsidR="00B30554">
        <w:t xml:space="preserve">specific to the </w:t>
      </w:r>
      <w:r w:rsidR="00B30554">
        <w:rPr>
          <w:i/>
          <w:iCs/>
        </w:rPr>
        <w:t>Panicum virgatum</w:t>
      </w:r>
      <w:r w:rsidR="00B30554">
        <w:t xml:space="preserve"> diversity panel</w:t>
      </w:r>
      <w:r>
        <w:t>. We also included</w:t>
      </w:r>
      <w:r w:rsidR="00B30554">
        <w:t xml:space="preserve"> functionalities to find genomic annotations from V5.1 of the </w:t>
      </w:r>
      <w:r w:rsidR="00B30554" w:rsidRPr="00C62C46">
        <w:rPr>
          <w:i/>
          <w:iCs/>
        </w:rPr>
        <w:t>P. virgatum</w:t>
      </w:r>
      <w:r w:rsidR="00B30554">
        <w:t xml:space="preserve"> genome</w:t>
      </w:r>
      <w:r>
        <w:t xml:space="preserve"> for specific genomic regions and to produce common plots and datasets for GWAS and mash analysis. </w:t>
      </w:r>
    </w:p>
    <w:p w14:paraId="354EE019" w14:textId="2F7C4EF0" w:rsidR="00595F7F" w:rsidRPr="00595F7F" w:rsidRDefault="00513AD2" w:rsidP="00EF70DA">
      <w:pPr>
        <w:ind w:firstLine="720"/>
      </w:pPr>
      <w:r>
        <w:t>{</w:t>
      </w:r>
      <w:proofErr w:type="spellStart"/>
      <w:r>
        <w:t>bigsnpr</w:t>
      </w:r>
      <w:proofErr w:type="spellEnd"/>
      <w:r>
        <w:t>}</w:t>
      </w:r>
      <w:r w:rsidR="0075291B">
        <w:t xml:space="preserve"> perform</w:t>
      </w:r>
      <w:r>
        <w:t>s</w:t>
      </w:r>
      <w:r w:rsidR="0075291B">
        <w:t xml:space="preserve"> fast statistical analysis of massive SNP arrays encoded as matrices. </w:t>
      </w:r>
      <w:r w:rsidR="0075291B">
        <w:t>The package can handle matrices that are too large to fit in memory</w:t>
      </w:r>
      <w:r w:rsidR="00B30554">
        <w:t xml:space="preserve"> by</w:t>
      </w:r>
      <w:r w:rsidR="0075291B">
        <w:t xml:space="preserve"> memory-mapping </w:t>
      </w:r>
      <w:r w:rsidR="00B30554">
        <w:t xml:space="preserve">these matrices </w:t>
      </w:r>
      <w:r w:rsidR="0075291B">
        <w:t>to binary files on disk.</w:t>
      </w:r>
      <w:r w:rsidR="00B30554">
        <w:t xml:space="preserve"> </w:t>
      </w:r>
      <w:r>
        <w:t>{</w:t>
      </w:r>
      <w:proofErr w:type="spellStart"/>
      <w:r>
        <w:t>bigsnpr</w:t>
      </w:r>
      <w:proofErr w:type="spellEnd"/>
      <w:r>
        <w:t>}</w:t>
      </w:r>
      <w:r>
        <w:t xml:space="preserve"> </w:t>
      </w:r>
      <w:r w:rsidR="00B30554">
        <w:t xml:space="preserve">takes less than 5 seconds of computational time per million </w:t>
      </w:r>
      <w:r w:rsidR="00B30554" w:rsidRPr="00595F7F">
        <w:t xml:space="preserve">SNPs to run a GWAS for a single phenotype; a performance improvement of more than 300x over TASSEL. </w:t>
      </w:r>
      <w:r w:rsidR="00C62C46" w:rsidRPr="00595F7F">
        <w:t xml:space="preserve">It also incorporates current gold standards in the human </w:t>
      </w:r>
      <w:proofErr w:type="gramStart"/>
      <w:r w:rsidR="00C62C46" w:rsidRPr="00595F7F">
        <w:t>genetics</w:t>
      </w:r>
      <w:proofErr w:type="gramEnd"/>
      <w:r w:rsidR="00C62C46" w:rsidRPr="00595F7F">
        <w:t xml:space="preserve"> literature for SNP quality control, pruning, and imputation, as well as population structure correction in GWAS. </w:t>
      </w:r>
    </w:p>
    <w:p w14:paraId="2FB15986" w14:textId="56D37F4A" w:rsidR="00353CAC" w:rsidRDefault="00513AD2" w:rsidP="00B61459">
      <w:pPr>
        <w:ind w:firstLine="720"/>
        <w:rPr>
          <w:rFonts w:cstheme="minorHAnsi"/>
        </w:rPr>
      </w:pPr>
      <w:r>
        <w:t>{</w:t>
      </w:r>
      <w:proofErr w:type="spellStart"/>
      <w:r>
        <w:t>mashr</w:t>
      </w:r>
      <w:proofErr w:type="spellEnd"/>
      <w:r>
        <w:t>}</w:t>
      </w:r>
      <w:r w:rsidR="00595F7F" w:rsidRPr="00595F7F">
        <w:rPr>
          <w:rFonts w:cstheme="minorHAnsi"/>
        </w:rPr>
        <w:t xml:space="preserve"> uses Empirical Bayes methods to estimate and test many effects in many conditions. It</w:t>
      </w:r>
      <w:r w:rsidR="00595F7F" w:rsidRPr="00595F7F">
        <w:rPr>
          <w:rFonts w:cstheme="minorHAnsi"/>
        </w:rPr>
        <w:t xml:space="preserve"> is a flexible, data-driven method that shares information on patterns of effect size and sign in any dataset where effects can be estimated on a condition-by-condition basis for many conditions (here, phenotypes</w:t>
      </w:r>
      <w:r w:rsidR="00595F7F" w:rsidRPr="00595F7F">
        <w:rPr>
          <w:rFonts w:cstheme="minorHAnsi"/>
        </w:rPr>
        <w:t xml:space="preserve"> at different common garden sites</w:t>
      </w:r>
      <w:r w:rsidR="00595F7F" w:rsidRPr="00595F7F">
        <w:rPr>
          <w:rFonts w:cstheme="minorHAnsi"/>
        </w:rPr>
        <w:t xml:space="preserve">) across many units (here, SNPs). It first learns patterns of covariance between SNPs and phenotypes from SNPs without strong effects, then combines these data-driven covariances with the original condition-by-condition results to produce improved effect estimates. In this way, </w:t>
      </w:r>
      <w:r w:rsidR="00155AB1">
        <w:t>{</w:t>
      </w:r>
      <w:proofErr w:type="spellStart"/>
      <w:r w:rsidR="00155AB1">
        <w:t>mashr</w:t>
      </w:r>
      <w:proofErr w:type="spellEnd"/>
      <w:r w:rsidR="00155AB1">
        <w:t>}</w:t>
      </w:r>
      <w:r w:rsidR="00155AB1">
        <w:t xml:space="preserve"> </w:t>
      </w:r>
      <w:r w:rsidR="00595F7F" w:rsidRPr="00595F7F">
        <w:rPr>
          <w:rFonts w:cstheme="minorHAnsi"/>
        </w:rPr>
        <w:t>shares information between conditions to increase the power to detect shared patterns of effects.</w:t>
      </w:r>
      <w:r w:rsidR="00595F7F" w:rsidRPr="00595F7F">
        <w:rPr>
          <w:rFonts w:cstheme="minorHAnsi"/>
        </w:rPr>
        <w:t xml:space="preserve"> </w:t>
      </w:r>
      <w:r w:rsidR="00595F7F" w:rsidRPr="00595F7F">
        <w:rPr>
          <w:rFonts w:cstheme="minorHAnsi"/>
        </w:rPr>
        <w:t xml:space="preserve">We </w:t>
      </w:r>
      <w:r w:rsidR="00595F7F" w:rsidRPr="00595F7F">
        <w:rPr>
          <w:rFonts w:cstheme="minorHAnsi"/>
        </w:rPr>
        <w:t xml:space="preserve">used </w:t>
      </w:r>
      <w:r w:rsidR="00155AB1">
        <w:t>{</w:t>
      </w:r>
      <w:proofErr w:type="spellStart"/>
      <w:r w:rsidR="00155AB1">
        <w:t>mashr</w:t>
      </w:r>
      <w:proofErr w:type="spellEnd"/>
      <w:r w:rsidR="00155AB1">
        <w:t>}</w:t>
      </w:r>
      <w:r w:rsidR="00155AB1">
        <w:t xml:space="preserve"> </w:t>
      </w:r>
      <w:r w:rsidR="00595F7F" w:rsidRPr="00595F7F">
        <w:rPr>
          <w:rFonts w:cstheme="minorHAnsi"/>
        </w:rPr>
        <w:t>to compare both the magnitude and sign</w:t>
      </w:r>
      <w:r w:rsidR="00595F7F" w:rsidRPr="00595F7F">
        <w:rPr>
          <w:rFonts w:cstheme="minorHAnsi"/>
        </w:rPr>
        <w:t xml:space="preserve"> of significant phenotypic effects, </w:t>
      </w:r>
      <w:r w:rsidR="00595F7F" w:rsidRPr="00595F7F">
        <w:rPr>
          <w:rFonts w:cstheme="minorHAnsi"/>
        </w:rPr>
        <w:t xml:space="preserve">using only </w:t>
      </w:r>
      <w:r w:rsidR="00595F7F" w:rsidRPr="00595F7F">
        <w:rPr>
          <w:rFonts w:cstheme="minorHAnsi"/>
        </w:rPr>
        <w:t xml:space="preserve">SNPs with a local false sign rate of 0.05 or less for one or more phenotype. The local false sign rate is analogous to a FDR, but is more conservative, in that it also reflects the uncertainty in the estimation of the sign of the effect </w:t>
      </w:r>
      <w:r w:rsidR="00595F7F" w:rsidRPr="00595F7F">
        <w:rPr>
          <w:rFonts w:cstheme="minorHAnsi"/>
        </w:rPr>
        <w:fldChar w:fldCharType="begin"/>
      </w:r>
      <w:r w:rsidR="00595F7F" w:rsidRPr="00595F7F">
        <w:rPr>
          <w:rFonts w:cstheme="minorHAnsi"/>
        </w:rPr>
        <w:instrText xml:space="preserve"> ADDIN EN.CITE &lt;EndNote&gt;&lt;Cite&gt;&lt;Author&gt;Stephens&lt;/Author&gt;&lt;Year&gt;2017&lt;/Year&gt;&lt;RecNum&gt;873&lt;/RecNum&gt;&lt;DisplayText&gt;(&lt;style face="smallcaps"&gt;Stephens&lt;/style&gt; 2017)&lt;/DisplayText&gt;&lt;record&gt;&lt;rec-number&gt;873&lt;/rec-number&gt;&lt;foreign-keys&gt;&lt;key app="EN" db-id="va0pxx22gt2sf2e25zsxw907aze2p2efv090" timestamp="1560181368"&gt;873&lt;/key&gt;&lt;/foreign-keys&gt;&lt;ref-type name="Journal Article"&gt;17&lt;/ref-type&gt;&lt;contributors&gt;&lt;authors&gt;&lt;author&gt;Stephens, Matthew&lt;/author&gt;&lt;/authors&gt;&lt;/contributors&gt;&lt;titles&gt;&lt;title&gt;False discovery rates: a new deal&lt;/title&gt;&lt;secondary-title&gt;Biostatistics (Oxford, England)&lt;/secondary-title&gt;&lt;alt-title&gt;Biostatistics&lt;/alt-title&gt;&lt;/titles&gt;&lt;periodical&gt;&lt;full-title&gt;Biostatistics (Oxford, England)&lt;/full-title&gt;&lt;abbr-1&gt;Biostatistics&lt;/abbr-1&gt;&lt;/periodical&gt;&lt;alt-periodical&gt;&lt;full-title&gt;Biostatistics (Oxford, England)&lt;/full-title&gt;&lt;abbr-1&gt;Biostatistics&lt;/abbr-1&gt;&lt;/alt-periodical&gt;&lt;pages&gt;275-294&lt;/pages&gt;&lt;volume&gt;18&lt;/volume&gt;&lt;number&gt;2&lt;/number&gt;&lt;edition&gt;10/17&lt;/edition&gt;&lt;keywords&gt;&lt;keyword&gt;*Empirical Bayes&lt;/keyword&gt;&lt;keyword&gt;*False discovery rates&lt;/keyword&gt;&lt;keyword&gt;*Multiple testing&lt;/keyword&gt;&lt;keyword&gt;*Shrinkage&lt;/keyword&gt;&lt;keyword&gt;*Unimodal&lt;/keyword&gt;&lt;keyword&gt;*Bayes Theorem&lt;/keyword&gt;&lt;keyword&gt;*Data Interpretation, Statistical&lt;/keyword&gt;&lt;keyword&gt;Humans&lt;/keyword&gt;&lt;keyword&gt;*Models, Statistical&lt;/keyword&gt;&lt;/keywords&gt;&lt;dates&gt;&lt;year&gt;2017&lt;/year&gt;&lt;/dates&gt;&lt;publisher&gt;Oxford University Press&lt;/publisher&gt;&lt;isbn&gt;1468-4357&amp;#xD;1465-4644&lt;/isbn&gt;&lt;accession-num&gt;27756721&lt;/accession-num&gt;&lt;urls&gt;&lt;related-urls&gt;&lt;url&gt;https://www.ncbi.nlm.nih.gov/pubmed/27756721&lt;/url&gt;&lt;url&gt;https://www.ncbi.nlm.nih.gov/pmc/articles/PMC5379932/&lt;/url&gt;&lt;/related-urls&gt;&lt;/urls&gt;&lt;electronic-resource-num&gt;10.1093/biostatistics/kxw041&lt;/electronic-resource-num&gt;&lt;remote-database-name&gt;PubMed&lt;/remote-database-name&gt;&lt;language&gt;eng&lt;/language&gt;&lt;/record&gt;&lt;/Cite&gt;&lt;/EndNote&gt;</w:instrText>
      </w:r>
      <w:r w:rsidR="00595F7F" w:rsidRPr="00595F7F">
        <w:rPr>
          <w:rFonts w:cstheme="minorHAnsi"/>
        </w:rPr>
        <w:fldChar w:fldCharType="separate"/>
      </w:r>
      <w:r w:rsidR="00595F7F" w:rsidRPr="00595F7F">
        <w:rPr>
          <w:rFonts w:cstheme="minorHAnsi"/>
          <w:noProof/>
        </w:rPr>
        <w:t>(</w:t>
      </w:r>
      <w:r w:rsidR="00595F7F" w:rsidRPr="00595F7F">
        <w:rPr>
          <w:rFonts w:cstheme="minorHAnsi"/>
          <w:smallCaps/>
          <w:noProof/>
        </w:rPr>
        <w:t>Stephens</w:t>
      </w:r>
      <w:r w:rsidR="00595F7F" w:rsidRPr="00595F7F">
        <w:rPr>
          <w:rFonts w:cstheme="minorHAnsi"/>
          <w:noProof/>
        </w:rPr>
        <w:t xml:space="preserve"> 2017)</w:t>
      </w:r>
      <w:r w:rsidR="00595F7F" w:rsidRPr="00595F7F">
        <w:rPr>
          <w:rFonts w:cstheme="minorHAnsi"/>
        </w:rPr>
        <w:fldChar w:fldCharType="end"/>
      </w:r>
      <w:r w:rsidR="00595F7F" w:rsidRPr="00595F7F">
        <w:rPr>
          <w:rFonts w:cstheme="minorHAnsi"/>
        </w:rPr>
        <w:t>.</w:t>
      </w:r>
    </w:p>
    <w:p w14:paraId="0AC710CE" w14:textId="77777777" w:rsidR="0064695F" w:rsidRDefault="0064695F" w:rsidP="00B61459">
      <w:pPr>
        <w:ind w:firstLine="720"/>
      </w:pPr>
      <w:bookmarkStart w:id="0" w:name="_GoBack"/>
      <w:bookmarkEnd w:id="0"/>
    </w:p>
    <w:p w14:paraId="21DD914D" w14:textId="6FD81579" w:rsidR="00353CAC" w:rsidRDefault="0075291B" w:rsidP="0075291B">
      <w:proofErr w:type="spellStart"/>
      <w:r>
        <w:t>Privé</w:t>
      </w:r>
      <w:proofErr w:type="spellEnd"/>
      <w:r>
        <w:t>, Florian, et al. </w:t>
      </w:r>
      <w:hyperlink r:id="rId4" w:history="1">
        <w:r>
          <w:rPr>
            <w:rStyle w:val="Hyperlink"/>
          </w:rPr>
          <w:t xml:space="preserve">“Efficient analysis of large-scale genome-wide data with two R packages: </w:t>
        </w:r>
        <w:proofErr w:type="spellStart"/>
        <w:r>
          <w:rPr>
            <w:rStyle w:val="Hyperlink"/>
          </w:rPr>
          <w:t>bigstatsr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bigsnpr</w:t>
        </w:r>
        <w:proofErr w:type="spellEnd"/>
        <w:r>
          <w:rPr>
            <w:rStyle w:val="Hyperlink"/>
          </w:rPr>
          <w:t>.”</w:t>
        </w:r>
      </w:hyperlink>
      <w:r>
        <w:t xml:space="preserve"> Bioinformatics 34.16 (2018): 2781-2787.</w:t>
      </w:r>
    </w:p>
    <w:p w14:paraId="2C238B00" w14:textId="77777777" w:rsidR="0064695F" w:rsidRDefault="0075291B" w:rsidP="00B61459">
      <w:r>
        <w:lastRenderedPageBreak/>
        <w:t xml:space="preserve">Sarah </w:t>
      </w:r>
      <w:proofErr w:type="spellStart"/>
      <w:r>
        <w:t>Urbut</w:t>
      </w:r>
      <w:proofErr w:type="spellEnd"/>
      <w:r>
        <w:t xml:space="preserve">, Gao Wang, Peter </w:t>
      </w:r>
      <w:proofErr w:type="spellStart"/>
      <w:r>
        <w:t>Carbonetto</w:t>
      </w:r>
      <w:proofErr w:type="spellEnd"/>
      <w:r>
        <w:t xml:space="preserve"> and Matthew Stephens (2019). </w:t>
      </w:r>
      <w:hyperlink r:id="rId5" w:history="1">
        <w:r>
          <w:rPr>
            <w:rStyle w:val="Hyperlink"/>
          </w:rPr>
          <w:t>Flexible statistical methods for estimating and testing effects in genomic studies with multiple conditions.</w:t>
        </w:r>
      </w:hyperlink>
      <w:r>
        <w:t xml:space="preserve"> </w:t>
      </w:r>
      <w:r>
        <w:rPr>
          <w:rStyle w:val="Emphasis"/>
        </w:rPr>
        <w:t>Nature Genetics</w:t>
      </w:r>
      <w:r>
        <w:t xml:space="preserve"> </w:t>
      </w:r>
      <w:r>
        <w:rPr>
          <w:rStyle w:val="Strong"/>
        </w:rPr>
        <w:t>51</w:t>
      </w:r>
      <w:r>
        <w:t>, 187-195.</w:t>
      </w:r>
    </w:p>
    <w:p w14:paraId="79BDD679" w14:textId="6A9858E9" w:rsidR="00595F7F" w:rsidRPr="007C1341" w:rsidRDefault="00595F7F" w:rsidP="0075291B">
      <w:r w:rsidRPr="00E67093">
        <w:t>Stephens, M., 2017 False discovery rates: a new deal. Biostatistics (Oxford, England) 18</w:t>
      </w:r>
      <w:r w:rsidRPr="00E67093">
        <w:rPr>
          <w:b/>
        </w:rPr>
        <w:t>:</w:t>
      </w:r>
      <w:r w:rsidRPr="00E67093">
        <w:t xml:space="preserve"> 275-294.</w:t>
      </w:r>
    </w:p>
    <w:sectPr w:rsidR="00595F7F" w:rsidRPr="007C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DA"/>
    <w:rsid w:val="00064ADA"/>
    <w:rsid w:val="00155AB1"/>
    <w:rsid w:val="00353CAC"/>
    <w:rsid w:val="004626A2"/>
    <w:rsid w:val="00513AD2"/>
    <w:rsid w:val="00595F7F"/>
    <w:rsid w:val="0064695F"/>
    <w:rsid w:val="0075291B"/>
    <w:rsid w:val="007C1341"/>
    <w:rsid w:val="00834610"/>
    <w:rsid w:val="00A73855"/>
    <w:rsid w:val="00B2786C"/>
    <w:rsid w:val="00B30554"/>
    <w:rsid w:val="00B61459"/>
    <w:rsid w:val="00C62C46"/>
    <w:rsid w:val="00DE2354"/>
    <w:rsid w:val="00E35235"/>
    <w:rsid w:val="00E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BE49"/>
  <w15:chartTrackingRefBased/>
  <w15:docId w15:val="{3D31F561-FAC7-40CC-8BDD-EEC9B261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91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5291B"/>
    <w:rPr>
      <w:i/>
      <w:iCs/>
    </w:rPr>
  </w:style>
  <w:style w:type="character" w:styleId="Strong">
    <w:name w:val="Strong"/>
    <w:basedOn w:val="DefaultParagraphFont"/>
    <w:uiPriority w:val="22"/>
    <w:qFormat/>
    <w:rsid w:val="007529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95F7F"/>
    <w:pPr>
      <w:spacing w:line="240" w:lineRule="auto"/>
    </w:pPr>
    <w:rPr>
      <w:rFonts w:ascii="Calibri" w:eastAsiaTheme="minorEastAsia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95F7F"/>
    <w:rPr>
      <w:rFonts w:ascii="Calibri" w:eastAsiaTheme="minorEastAsia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38/s41588-018-0268-8" TargetMode="External"/><Relationship Id="rId4" Type="http://schemas.openxmlformats.org/officeDocument/2006/relationships/hyperlink" Target="https://doi.org/10.1093/bioinformatics/bty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7</cp:revision>
  <dcterms:created xsi:type="dcterms:W3CDTF">2020-03-04T16:35:00Z</dcterms:created>
  <dcterms:modified xsi:type="dcterms:W3CDTF">2020-03-04T17:41:00Z</dcterms:modified>
</cp:coreProperties>
</file>