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BCBFFA" w14:textId="343F0D93" w:rsidR="00DE2354" w:rsidRDefault="00F77CB1">
      <w:r>
        <w:t xml:space="preserve">So, </w:t>
      </w:r>
      <w:proofErr w:type="gramStart"/>
      <w:r>
        <w:t>what’s</w:t>
      </w:r>
      <w:proofErr w:type="gramEnd"/>
      <w:r>
        <w:t xml:space="preserve"> happening at Stillwater?</w:t>
      </w:r>
    </w:p>
    <w:p w14:paraId="71F897C4" w14:textId="68E33276" w:rsidR="00F77CB1" w:rsidRDefault="00F77CB1"/>
    <w:p w14:paraId="6F13C73C" w14:textId="6E2097D2" w:rsidR="00F77CB1" w:rsidRDefault="00F77CB1">
      <w:r>
        <w:t xml:space="preserve">During our call this week, we went through flowering time mash results for the diversity panel at the </w:t>
      </w:r>
      <w:proofErr w:type="spellStart"/>
      <w:r>
        <w:t>fourway</w:t>
      </w:r>
      <w:proofErr w:type="spellEnd"/>
      <w:r>
        <w:t xml:space="preserve"> sites. Stillwater (STIL) and Kingsville (KING) had the most unusual SNP effects in the mash results. Often, KING had antagonistic pleiotropy with the other sites, and STIL had a much larger effect than the other sites. </w:t>
      </w:r>
      <w:proofErr w:type="gramStart"/>
      <w:r>
        <w:t>Here’s</w:t>
      </w:r>
      <w:proofErr w:type="gramEnd"/>
      <w:r>
        <w:t xml:space="preserve"> a mash SNP that overlapped Li’s </w:t>
      </w:r>
      <w:proofErr w:type="spellStart"/>
      <w:r>
        <w:t>fourway</w:t>
      </w:r>
      <w:proofErr w:type="spellEnd"/>
      <w:r>
        <w:t xml:space="preserve"> QTL on Chr02N:</w:t>
      </w:r>
    </w:p>
    <w:p w14:paraId="5BE60804" w14:textId="736D3657" w:rsidR="00F77CB1" w:rsidRDefault="00037DB5">
      <w:r>
        <w:rPr>
          <w:noProof/>
        </w:rPr>
        <w:drawing>
          <wp:anchor distT="0" distB="0" distL="114300" distR="114300" simplePos="0" relativeHeight="251658240" behindDoc="0" locked="0" layoutInCell="1" allowOverlap="1" wp14:anchorId="31BC10FE" wp14:editId="3FCAACE7">
            <wp:simplePos x="0" y="0"/>
            <wp:positionH relativeFrom="margin">
              <wp:align>left</wp:align>
            </wp:positionH>
            <wp:positionV relativeFrom="paragraph">
              <wp:posOffset>167640</wp:posOffset>
            </wp:positionV>
            <wp:extent cx="5086985" cy="3392170"/>
            <wp:effectExtent l="0" t="0" r="0" b="0"/>
            <wp:wrapSquare wrapText="bothSides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hr05N_58_to_68Mb_mash_result_zoom_2panel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6985" cy="3392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911DEB" w14:textId="1C2203FF" w:rsidR="00F77CB1" w:rsidRDefault="00F77CB1"/>
    <w:p w14:paraId="7E589C10" w14:textId="72394A32" w:rsidR="00F77CB1" w:rsidRDefault="00F77CB1"/>
    <w:p w14:paraId="396B8D84" w14:textId="317FDA2F" w:rsidR="00F77CB1" w:rsidRDefault="00F77CB1"/>
    <w:p w14:paraId="79D03972" w14:textId="50DA4FE8" w:rsidR="00F77CB1" w:rsidRDefault="00F77CB1"/>
    <w:p w14:paraId="5132279C" w14:textId="77777777" w:rsidR="00F77CB1" w:rsidRDefault="00F77CB1"/>
    <w:p w14:paraId="3B2D6070" w14:textId="2343263C" w:rsidR="00F77CB1" w:rsidRDefault="00F77CB1"/>
    <w:p w14:paraId="72C75752" w14:textId="77777777" w:rsidR="00F77CB1" w:rsidRDefault="00F77CB1"/>
    <w:p w14:paraId="6824885D" w14:textId="0B9F6543" w:rsidR="00F77CB1" w:rsidRDefault="00F77CB1"/>
    <w:p w14:paraId="26E009DA" w14:textId="77777777" w:rsidR="00F77CB1" w:rsidRDefault="00F77CB1"/>
    <w:p w14:paraId="3546AAA8" w14:textId="582CE5E4" w:rsidR="00F77CB1" w:rsidRDefault="00F77CB1"/>
    <w:p w14:paraId="4D7C3E6F" w14:textId="76B65A79" w:rsidR="00F77CB1" w:rsidRDefault="00F77CB1"/>
    <w:p w14:paraId="4CB9CC5E" w14:textId="0EE20818" w:rsidR="00F77CB1" w:rsidRDefault="00F77CB1"/>
    <w:p w14:paraId="12EB60C8" w14:textId="77777777" w:rsidR="003E6D62" w:rsidRDefault="003E6D62"/>
    <w:p w14:paraId="0F614AAF" w14:textId="77777777" w:rsidR="003E6D62" w:rsidRDefault="003E6D62"/>
    <w:p w14:paraId="105D414F" w14:textId="6AEC896F" w:rsidR="00F77CB1" w:rsidRDefault="00F77CB1">
      <w:r>
        <w:t xml:space="preserve">I spent time looking through the data, and eventually formed the hypothesis that </w:t>
      </w:r>
      <w:r w:rsidRPr="00F77CB1">
        <w:t xml:space="preserve">the Midwest and Gulf populations are </w:t>
      </w:r>
      <w:r>
        <w:t>responding to</w:t>
      </w:r>
      <w:r w:rsidRPr="00F77CB1">
        <w:t xml:space="preserve"> extremely different environmental signals </w:t>
      </w:r>
      <w:r>
        <w:t>across</w:t>
      </w:r>
      <w:r w:rsidRPr="00F77CB1">
        <w:t xml:space="preserve"> the planting locations. </w:t>
      </w:r>
    </w:p>
    <w:p w14:paraId="6EF957A0" w14:textId="6EA38909" w:rsidR="00F77CB1" w:rsidRDefault="00F77CB1"/>
    <w:p w14:paraId="12CD1E7A" w14:textId="57DFDE25" w:rsidR="00F77CB1" w:rsidRDefault="003E6D62">
      <w:r>
        <w:rPr>
          <w:b/>
          <w:bCs/>
        </w:rPr>
        <w:br w:type="column"/>
      </w:r>
      <w:r w:rsidR="00F77CB1" w:rsidRPr="00BD066D">
        <w:rPr>
          <w:b/>
          <w:bCs/>
        </w:rPr>
        <w:lastRenderedPageBreak/>
        <w:t>Here is why I think the Midwest and Gulf populations need different environmental indexes</w:t>
      </w:r>
      <w:r w:rsidR="00F77CB1">
        <w:t xml:space="preserve">. If you plot cumulative GDD between </w:t>
      </w:r>
      <w:proofErr w:type="spellStart"/>
      <w:r w:rsidR="00F77CB1">
        <w:t>greenup</w:t>
      </w:r>
      <w:proofErr w:type="spellEnd"/>
      <w:r w:rsidR="00F77CB1">
        <w:t xml:space="preserve"> and flowering </w:t>
      </w:r>
      <w:r w:rsidR="00F77CB1" w:rsidRPr="00BD066D">
        <w:rPr>
          <w:i/>
          <w:iCs/>
        </w:rPr>
        <w:t>(or photothermal time, or days to flowering, for any base temperature, it doesn’t matter</w:t>
      </w:r>
      <w:r w:rsidR="00BD066D">
        <w:rPr>
          <w:i/>
          <w:iCs/>
        </w:rPr>
        <w:t xml:space="preserve"> – so I picked 13C as Li has used that base temperature in previous work</w:t>
      </w:r>
      <w:r w:rsidR="00F77CB1" w:rsidRPr="00BD066D">
        <w:rPr>
          <w:i/>
          <w:iCs/>
        </w:rPr>
        <w:t xml:space="preserve">) </w:t>
      </w:r>
      <w:r w:rsidR="00F77CB1">
        <w:t xml:space="preserve">and create a reaction norm plot, where </w:t>
      </w:r>
      <w:r w:rsidR="00BD066D">
        <w:t>cumulative GDD is on the y-axis, and the sites are ordered by latitude on the x-axis, you get the following:</w:t>
      </w:r>
      <w:r w:rsidR="00F77CB1">
        <w:t xml:space="preserve"> </w:t>
      </w:r>
    </w:p>
    <w:p w14:paraId="7E94B9FB" w14:textId="33CB4CDF" w:rsidR="00F77CB1" w:rsidRDefault="00F77CB1">
      <w:r>
        <w:rPr>
          <w:noProof/>
        </w:rPr>
        <w:drawing>
          <wp:inline distT="0" distB="0" distL="0" distR="0" wp14:anchorId="1950D670" wp14:editId="1067C811">
            <wp:extent cx="5943600" cy="3674110"/>
            <wp:effectExtent l="0" t="0" r="0" b="2540"/>
            <wp:docPr id="2" name="Picture 2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action_norm_cumulative_GDD_to_flowering_Gulf_and_Midwest_grown_4_or_more_4way_sites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E9B1D" w14:textId="16FB3BA3" w:rsidR="00F77CB1" w:rsidRDefault="00BD066D">
      <w:r>
        <w:t xml:space="preserve">The blue lines are the linear trends for each subpopulation </w:t>
      </w:r>
      <w:r w:rsidRPr="00BD066D">
        <w:rPr>
          <w:i/>
          <w:iCs/>
        </w:rPr>
        <w:t xml:space="preserve">(smoothed curves are </w:t>
      </w:r>
      <w:proofErr w:type="gramStart"/>
      <w:r w:rsidRPr="00BD066D">
        <w:rPr>
          <w:i/>
          <w:iCs/>
        </w:rPr>
        <w:t>very similar</w:t>
      </w:r>
      <w:proofErr w:type="gramEnd"/>
      <w:r w:rsidRPr="00BD066D">
        <w:rPr>
          <w:i/>
          <w:iCs/>
        </w:rPr>
        <w:t>).</w:t>
      </w:r>
      <w:r w:rsidR="003F6189">
        <w:rPr>
          <w:i/>
          <w:iCs/>
        </w:rPr>
        <w:t xml:space="preserve"> </w:t>
      </w:r>
      <w:r w:rsidR="003F6189">
        <w:t>The green lines are Gulf clones, and the purple lines are Midwest clones.</w:t>
      </w:r>
      <w:r w:rsidRPr="00BD066D">
        <w:rPr>
          <w:i/>
          <w:iCs/>
        </w:rPr>
        <w:t xml:space="preserve"> </w:t>
      </w:r>
      <w:r>
        <w:t xml:space="preserve">These two subpopulations are the most distinct on this kind of plot, including the 8X, admixed 4X, and Atlantic material. </w:t>
      </w:r>
    </w:p>
    <w:p w14:paraId="36B74C6B" w14:textId="480C8950" w:rsidR="00BD066D" w:rsidRDefault="00BD066D">
      <w:r>
        <w:t xml:space="preserve">So here you see that cumulative GDD is </w:t>
      </w:r>
      <w:proofErr w:type="gramStart"/>
      <w:r>
        <w:t>a pretty good</w:t>
      </w:r>
      <w:proofErr w:type="gramEnd"/>
      <w:r>
        <w:t xml:space="preserve"> index for the Midwest population. Regardless of the site, Midwest individuals in general are just looking for ~600 cumulative growing degree days before they flower.</w:t>
      </w:r>
      <w:r w:rsidR="001C3DB3">
        <w:t xml:space="preserve"> </w:t>
      </w:r>
      <w:r w:rsidR="001C3DB3">
        <w:rPr>
          <w:i/>
          <w:iCs/>
        </w:rPr>
        <w:t>(Gulf individuals virtually always need more</w:t>
      </w:r>
      <w:r w:rsidR="001C3DB3">
        <w:rPr>
          <w:i/>
          <w:iCs/>
        </w:rPr>
        <w:t xml:space="preserve"> cumulative</w:t>
      </w:r>
      <w:r w:rsidR="001C3DB3">
        <w:rPr>
          <w:i/>
          <w:iCs/>
        </w:rPr>
        <w:t xml:space="preserve"> GDD than Midwest individuals</w:t>
      </w:r>
      <w:r w:rsidR="001C3DB3" w:rsidRPr="001C3DB3">
        <w:rPr>
          <w:i/>
          <w:iCs/>
        </w:rPr>
        <w:t>)</w:t>
      </w:r>
      <w:r w:rsidR="001C3DB3">
        <w:t>.</w:t>
      </w:r>
    </w:p>
    <w:p w14:paraId="1DE359AA" w14:textId="547AAA50" w:rsidR="00BD066D" w:rsidRDefault="00BD066D">
      <w:r>
        <w:t xml:space="preserve">The same is not true for the Gulf population. There does seem to be an interaction with latitude, but not a perfect one, and </w:t>
      </w:r>
      <w:proofErr w:type="gramStart"/>
      <w:r>
        <w:t>it’s</w:t>
      </w:r>
      <w:proofErr w:type="gramEnd"/>
      <w:r>
        <w:t xml:space="preserve"> particularly messy at Temple </w:t>
      </w:r>
      <w:r w:rsidR="003F6189">
        <w:t xml:space="preserve">(TMPL – unfortunately we don’t have a </w:t>
      </w:r>
      <w:proofErr w:type="spellStart"/>
      <w:r w:rsidR="003F6189">
        <w:t>fourway</w:t>
      </w:r>
      <w:proofErr w:type="spellEnd"/>
      <w:r w:rsidR="003F6189">
        <w:t xml:space="preserve"> population here) </w:t>
      </w:r>
      <w:r>
        <w:t>and Stillwater.</w:t>
      </w:r>
    </w:p>
    <w:p w14:paraId="3A8BD402" w14:textId="2512371E" w:rsidR="00BD066D" w:rsidRDefault="00BD066D">
      <w:r>
        <w:t xml:space="preserve">There is lots of antagonistic pleiotropy evident in the Gulf population in KING relative to the other sites. </w:t>
      </w:r>
      <w:r w:rsidR="00856B5C">
        <w:t xml:space="preserve">Oh, and we see some strange flowering signatures at STIL </w:t>
      </w:r>
      <w:r w:rsidR="003F6189">
        <w:t xml:space="preserve">and TMPL </w:t>
      </w:r>
      <w:r w:rsidR="00856B5C">
        <w:t>for the Midwest population</w:t>
      </w:r>
      <w:r w:rsidR="003F6189">
        <w:t xml:space="preserve">. It seems plausible that this is causing STIL SNP effects to be much larger than </w:t>
      </w:r>
      <w:proofErr w:type="spellStart"/>
      <w:r w:rsidR="003F6189">
        <w:t>they</w:t>
      </w:r>
      <w:proofErr w:type="spellEnd"/>
      <w:r w:rsidR="003F6189">
        <w:t xml:space="preserve"> are other sites for some SNPs.</w:t>
      </w:r>
    </w:p>
    <w:p w14:paraId="5C02B404" w14:textId="6EC0DC89" w:rsidR="00BD066D" w:rsidRDefault="00BD066D"/>
    <w:p w14:paraId="77D960DD" w14:textId="7760CE86" w:rsidR="00BD066D" w:rsidRDefault="003E6D62">
      <w:r>
        <w:br w:type="column"/>
      </w:r>
      <w:r w:rsidR="00BD066D">
        <w:lastRenderedPageBreak/>
        <w:t>Because of the imperfect interaction with latitude, I looked at various features of daylength as contributors to flowering time in Gulf individuals.</w:t>
      </w:r>
      <w:r w:rsidR="003F6189">
        <w:t xml:space="preserve"> Only when I plotted daylength at each site relative to </w:t>
      </w:r>
      <w:proofErr w:type="spellStart"/>
      <w:r w:rsidR="003F6189">
        <w:t>greenup</w:t>
      </w:r>
      <w:proofErr w:type="spellEnd"/>
      <w:r w:rsidR="003F6189">
        <w:t xml:space="preserve"> and flowering times did I start to get a theory about what was going on. So here, day of the year is on the x-axis, and daylength for each site is indicated by the black curve. Then, the points below the black curve indicate date of </w:t>
      </w:r>
      <w:proofErr w:type="spellStart"/>
      <w:r w:rsidR="003F6189">
        <w:t>greenup</w:t>
      </w:r>
      <w:proofErr w:type="spellEnd"/>
      <w:r w:rsidR="003F6189">
        <w:t xml:space="preserve"> (50%, GR50) and flowering (1%, FL1; and 50%, FL50). </w:t>
      </w:r>
      <w:r w:rsidR="003F6189">
        <w:t xml:space="preserve">The green </w:t>
      </w:r>
      <w:r w:rsidR="003F6189">
        <w:t>points</w:t>
      </w:r>
      <w:r w:rsidR="003F6189">
        <w:t xml:space="preserve"> are </w:t>
      </w:r>
      <w:r w:rsidR="003F6189">
        <w:t>from G</w:t>
      </w:r>
      <w:r w:rsidR="003F6189">
        <w:t xml:space="preserve">ulf individuals, and the purple </w:t>
      </w:r>
      <w:r w:rsidR="003F6189">
        <w:t>points</w:t>
      </w:r>
      <w:r w:rsidR="003F6189">
        <w:t xml:space="preserve"> are </w:t>
      </w:r>
      <w:r w:rsidR="003F6189">
        <w:t xml:space="preserve">from </w:t>
      </w:r>
      <w:r w:rsidR="003F6189">
        <w:t>Midwest individuals.</w:t>
      </w:r>
      <w:r w:rsidR="00865DFF">
        <w:t xml:space="preserve"> And the dashed vertical line is the longest day of the year.</w:t>
      </w:r>
    </w:p>
    <w:p w14:paraId="1A460D25" w14:textId="34722374" w:rsidR="003F6189" w:rsidRDefault="003F6189">
      <w:r>
        <w:rPr>
          <w:noProof/>
        </w:rPr>
        <w:drawing>
          <wp:inline distT="0" distB="0" distL="0" distR="0" wp14:anchorId="19C6EFD6" wp14:editId="67F87C79">
            <wp:extent cx="5943600" cy="3674110"/>
            <wp:effectExtent l="0" t="0" r="0" b="2540"/>
            <wp:docPr id="3" name="Picture 3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aylength_vs_GR_FL1_FL50_Gulf_and_Midwest_10_sites_2019_longest_day_lin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F65C1" w14:textId="0A1F1AB5" w:rsidR="00865DFF" w:rsidRDefault="003F6189">
      <w:proofErr w:type="gramStart"/>
      <w:r>
        <w:t>Basically</w:t>
      </w:r>
      <w:proofErr w:type="gramEnd"/>
      <w:r>
        <w:t xml:space="preserve"> </w:t>
      </w:r>
      <w:r w:rsidR="00865DFF">
        <w:t xml:space="preserve">my hypothesis </w:t>
      </w:r>
      <w:r w:rsidR="00AE3F64">
        <w:t xml:space="preserve">is that 1) Midwest individuals flower once they’ve accumulated about 600 growing degree days, and 2) north of Kingsville, </w:t>
      </w:r>
      <w:r w:rsidR="00AE3F64" w:rsidRPr="00865DFF">
        <w:rPr>
          <w:b/>
          <w:bCs/>
        </w:rPr>
        <w:t xml:space="preserve">Gulf individuals flower once </w:t>
      </w:r>
      <w:r w:rsidR="00865DFF" w:rsidRPr="00865DFF">
        <w:rPr>
          <w:b/>
          <w:bCs/>
        </w:rPr>
        <w:t>daylength</w:t>
      </w:r>
      <w:r w:rsidR="00865DFF">
        <w:rPr>
          <w:b/>
          <w:bCs/>
        </w:rPr>
        <w:t xml:space="preserve"> starts decreasing</w:t>
      </w:r>
      <w:r w:rsidR="00865DFF">
        <w:t xml:space="preserve"> and </w:t>
      </w:r>
      <w:r w:rsidR="00AE3F64">
        <w:t xml:space="preserve">they’ve </w:t>
      </w:r>
      <w:r w:rsidR="00865DFF">
        <w:t>accumulated at least ~800 growing degree days</w:t>
      </w:r>
      <w:r w:rsidR="001C3DB3">
        <w:t xml:space="preserve">. </w:t>
      </w:r>
      <w:r w:rsidR="00865DFF">
        <w:t>This explains the massive difference in cumulative growing degree days until flowering between PKLE and TMPL on the previous plot – at both sites, Gulf individuals wait until after the summer solstice to flower</w:t>
      </w:r>
      <w:r w:rsidR="00B41D5D">
        <w:t xml:space="preserve"> (and may wait even longer at TMPL due to unknown other environmental factors – maybe drought)</w:t>
      </w:r>
      <w:r w:rsidR="00865DFF">
        <w:t>.</w:t>
      </w:r>
      <w:r w:rsidR="00865DFF" w:rsidRPr="003E6D62">
        <w:rPr>
          <w:sz w:val="18"/>
          <w:szCs w:val="18"/>
        </w:rPr>
        <w:t xml:space="preserve"> </w:t>
      </w:r>
      <w:r w:rsidR="00865DFF" w:rsidRPr="003E6D62">
        <w:rPr>
          <w:i/>
          <w:iCs/>
          <w:sz w:val="18"/>
          <w:szCs w:val="18"/>
        </w:rPr>
        <w:t xml:space="preserve">(And if </w:t>
      </w:r>
      <w:proofErr w:type="gramStart"/>
      <w:r w:rsidR="00865DFF" w:rsidRPr="003E6D62">
        <w:rPr>
          <w:i/>
          <w:iCs/>
          <w:sz w:val="18"/>
          <w:szCs w:val="18"/>
        </w:rPr>
        <w:t>you’re</w:t>
      </w:r>
      <w:proofErr w:type="gramEnd"/>
      <w:r w:rsidR="00865DFF" w:rsidRPr="003E6D62">
        <w:rPr>
          <w:i/>
          <w:iCs/>
          <w:sz w:val="18"/>
          <w:szCs w:val="18"/>
        </w:rPr>
        <w:t xml:space="preserve"> worried about possible collection gaps in the data – don’t be. Emergence was being scored at all of these sites between </w:t>
      </w:r>
      <w:proofErr w:type="spellStart"/>
      <w:r w:rsidR="00865DFF" w:rsidRPr="003E6D62">
        <w:rPr>
          <w:i/>
          <w:iCs/>
          <w:sz w:val="18"/>
          <w:szCs w:val="18"/>
        </w:rPr>
        <w:t>greenup</w:t>
      </w:r>
      <w:proofErr w:type="spellEnd"/>
      <w:r w:rsidR="00865DFF" w:rsidRPr="003E6D62">
        <w:rPr>
          <w:i/>
          <w:iCs/>
          <w:sz w:val="18"/>
          <w:szCs w:val="18"/>
        </w:rPr>
        <w:t xml:space="preserve"> and flowering and nicely spans the gap between GR50 and FL1 – data was being collected at all of these sites the entirety of this period.)</w:t>
      </w:r>
    </w:p>
    <w:p w14:paraId="70E47815" w14:textId="227AC9A8" w:rsidR="00F77CB1" w:rsidRDefault="00865DFF">
      <w:r>
        <w:t xml:space="preserve">And Kingsville – well, Kingsville is strange. Clearly, if there is some dependency on daylength in the Gulf population, </w:t>
      </w:r>
      <w:proofErr w:type="gramStart"/>
      <w:r>
        <w:t>it’s</w:t>
      </w:r>
      <w:proofErr w:type="gramEnd"/>
      <w:r>
        <w:t xml:space="preserve"> broken for at least some Gulf individuals due to some other environmental factor at KING (and PKLE</w:t>
      </w:r>
      <w:r w:rsidR="001C3DB3">
        <w:t>/TMPL</w:t>
      </w:r>
      <w:r>
        <w:t xml:space="preserve"> to</w:t>
      </w:r>
      <w:r w:rsidR="001C3DB3">
        <w:t xml:space="preserve"> much</w:t>
      </w:r>
      <w:r>
        <w:t xml:space="preserve"> lesser extent</w:t>
      </w:r>
      <w:r w:rsidR="001C3DB3">
        <w:t>s</w:t>
      </w:r>
      <w:r>
        <w:t>).</w:t>
      </w:r>
    </w:p>
    <w:p w14:paraId="5B9700B4" w14:textId="7B01427A" w:rsidR="003E6D62" w:rsidRDefault="003E6D62">
      <w:r>
        <w:t xml:space="preserve">In the STIL panel, you can see the cause of the days to flowering GxE and reaction norm crossovers at that site. At TMPL, the Midwest </w:t>
      </w:r>
      <w:proofErr w:type="spellStart"/>
      <w:r>
        <w:t>subpop</w:t>
      </w:r>
      <w:proofErr w:type="spellEnd"/>
      <w:r>
        <w:t xml:space="preserve"> greens up last. At STIL, GR50 timing overlaps in the two subpopulations. And once you get to CLMB, the Midwest </w:t>
      </w:r>
      <w:proofErr w:type="spellStart"/>
      <w:r>
        <w:t>subpop</w:t>
      </w:r>
      <w:proofErr w:type="spellEnd"/>
      <w:r>
        <w:t xml:space="preserve"> greens up first. STIL is clearly an important transition site for both subpopulations.</w:t>
      </w:r>
    </w:p>
    <w:p w14:paraId="649EA56A" w14:textId="410CB1B1" w:rsidR="001C3DB3" w:rsidRDefault="003E6D62">
      <w:r>
        <w:br w:type="column"/>
      </w:r>
      <w:proofErr w:type="gramStart"/>
      <w:r w:rsidR="001C3DB3">
        <w:lastRenderedPageBreak/>
        <w:t>Here’s</w:t>
      </w:r>
      <w:proofErr w:type="gramEnd"/>
      <w:r w:rsidR="001C3DB3">
        <w:t xml:space="preserve"> what I propose as an outline for the</w:t>
      </w:r>
      <w:r>
        <w:t xml:space="preserve"> Results/Discussion for the</w:t>
      </w:r>
      <w:r w:rsidR="001C3DB3">
        <w:t xml:space="preserve"> paper. </w:t>
      </w:r>
    </w:p>
    <w:p w14:paraId="0C4273D1" w14:textId="68598CAD" w:rsidR="001C3DB3" w:rsidRDefault="001C3DB3" w:rsidP="001C3DB3">
      <w:pPr>
        <w:pStyle w:val="ListParagraph"/>
        <w:numPr>
          <w:ilvl w:val="0"/>
          <w:numId w:val="1"/>
        </w:numPr>
      </w:pPr>
      <w:r>
        <w:t>First, introduce the diversity panel at the common gardens, and introduce what we know or hypothesize about environmental indices triggering flowering in the different subpopulations – maybe even discuss Gulf, Midwest, Atlantic, and 8X subpopulations. Point out that the Gulf and Midwest subpopulations have the most distinctive flowering responses out of all of the populations.</w:t>
      </w:r>
    </w:p>
    <w:p w14:paraId="78D9DBCB" w14:textId="69B44F4B" w:rsidR="001C3DB3" w:rsidRDefault="001C3DB3" w:rsidP="001C3DB3">
      <w:pPr>
        <w:pStyle w:val="ListParagraph"/>
        <w:numPr>
          <w:ilvl w:val="0"/>
          <w:numId w:val="1"/>
        </w:numPr>
      </w:pPr>
      <w:r>
        <w:t xml:space="preserve">Next, introduce the </w:t>
      </w:r>
      <w:proofErr w:type="spellStart"/>
      <w:r>
        <w:t>fourway</w:t>
      </w:r>
      <w:proofErr w:type="spellEnd"/>
      <w:r>
        <w:t xml:space="preserve"> cross – a genetic resource we have to break up the genes involved in the distinctive flowering responses in the most distinctive subpopulations. </w:t>
      </w:r>
    </w:p>
    <w:p w14:paraId="4552E06A" w14:textId="56459BAB" w:rsidR="0004154A" w:rsidRDefault="0004154A" w:rsidP="001C3DB3">
      <w:pPr>
        <w:pStyle w:val="ListParagraph"/>
        <w:numPr>
          <w:ilvl w:val="0"/>
          <w:numId w:val="1"/>
        </w:numPr>
      </w:pPr>
      <w:r>
        <w:t xml:space="preserve">Show the QTL regions and GxE patterns in the </w:t>
      </w:r>
      <w:proofErr w:type="spellStart"/>
      <w:r>
        <w:t>fourway</w:t>
      </w:r>
      <w:proofErr w:type="spellEnd"/>
      <w:r>
        <w:t xml:space="preserve"> – maybe looking for daylength sensitivity and for cumulative GDD requirements in this </w:t>
      </w:r>
      <w:proofErr w:type="gramStart"/>
      <w:r>
        <w:t>cross</w:t>
      </w:r>
      <w:r w:rsidR="003E6D62">
        <w:t>, if</w:t>
      </w:r>
      <w:proofErr w:type="gramEnd"/>
      <w:r w:rsidR="003E6D62">
        <w:t xml:space="preserve"> we can figure out how to model that</w:t>
      </w:r>
      <w:r>
        <w:t>. We could use all five years of data here.</w:t>
      </w:r>
      <w:r w:rsidR="003A6D8D">
        <w:t xml:space="preserve"> Maybe a model like the GWAS model below if possible.</w:t>
      </w:r>
    </w:p>
    <w:p w14:paraId="3043A521" w14:textId="77777777" w:rsidR="0004154A" w:rsidRDefault="0004154A" w:rsidP="001C3DB3">
      <w:pPr>
        <w:pStyle w:val="ListParagraph"/>
        <w:numPr>
          <w:ilvl w:val="0"/>
          <w:numId w:val="1"/>
        </w:numPr>
      </w:pPr>
      <w:r>
        <w:t>Then go back to the diversity panel. GWAS for Gulf, Midwest, and Gulf &amp; Midwest individuals. Phenotypes could be BLUPs from a model where</w:t>
      </w:r>
    </w:p>
    <w:p w14:paraId="27519974" w14:textId="1763C1AC" w:rsidR="001C3DB3" w:rsidRDefault="0004154A" w:rsidP="00B41D5D">
      <w:pPr>
        <w:pStyle w:val="ListParagraph"/>
        <w:numPr>
          <w:ilvl w:val="1"/>
          <w:numId w:val="1"/>
        </w:numPr>
      </w:pPr>
      <w:r>
        <w:t xml:space="preserve"> </w:t>
      </w:r>
      <w:r w:rsidR="009B2326">
        <w:t>FL50</w:t>
      </w:r>
      <w:r w:rsidR="003A6D8D">
        <w:t xml:space="preserve"> </w:t>
      </w:r>
      <w:r>
        <w:t>~ PLANT_ID</w:t>
      </w:r>
      <w:r w:rsidR="009B2326">
        <w:t>+ covariate(</w:t>
      </w:r>
      <w:proofErr w:type="spellStart"/>
      <w:r w:rsidR="009B2326">
        <w:t>ave_GDD_per_day_</w:t>
      </w:r>
      <w:r w:rsidR="00B41D5D">
        <w:t>GR</w:t>
      </w:r>
      <w:r w:rsidR="009B2326">
        <w:t>_to_FL</w:t>
      </w:r>
      <w:proofErr w:type="spellEnd"/>
      <w:r w:rsidR="00B41D5D">
        <w:t>)</w:t>
      </w:r>
      <w:r w:rsidR="003A6D8D">
        <w:t xml:space="preserve"> + </w:t>
      </w:r>
      <w:proofErr w:type="gramStart"/>
      <w:r>
        <w:t>fixed(</w:t>
      </w:r>
      <w:proofErr w:type="gramEnd"/>
      <w:r w:rsidR="003A6D8D">
        <w:t>Site</w:t>
      </w:r>
      <w:r w:rsidR="00B41D5D">
        <w:t xml:space="preserve">, </w:t>
      </w:r>
      <w:proofErr w:type="spellStart"/>
      <w:r w:rsidR="00B41D5D">
        <w:t>Site:Subpop</w:t>
      </w:r>
      <w:proofErr w:type="spellEnd"/>
      <w:r w:rsidR="00B41D5D">
        <w:t>).</w:t>
      </w:r>
      <w:r>
        <w:t xml:space="preserve"> </w:t>
      </w:r>
    </w:p>
    <w:p w14:paraId="690999A8" w14:textId="26B4B9C9" w:rsidR="003E6D62" w:rsidRDefault="003E6D62" w:rsidP="003E6D62">
      <w:pPr>
        <w:pStyle w:val="ListParagraph"/>
        <w:numPr>
          <w:ilvl w:val="0"/>
          <w:numId w:val="1"/>
        </w:numPr>
      </w:pPr>
      <w:r>
        <w:t xml:space="preserve">Use GWAS association overlaps with </w:t>
      </w:r>
      <w:proofErr w:type="spellStart"/>
      <w:r>
        <w:t>fourway</w:t>
      </w:r>
      <w:proofErr w:type="spellEnd"/>
      <w:r>
        <w:t xml:space="preserve"> to narrow intervals affecting flowering in the </w:t>
      </w:r>
      <w:proofErr w:type="spellStart"/>
      <w:r>
        <w:t>fourway</w:t>
      </w:r>
      <w:proofErr w:type="spellEnd"/>
      <w:r>
        <w:t>. Discuss candidate genes from these regions, gene expression data, and allele frequencies and effect sizes of these SNPs in the two different subpopulations.</w:t>
      </w:r>
    </w:p>
    <w:p w14:paraId="5554C9CE" w14:textId="711CC28F" w:rsidR="001C3DB3" w:rsidRDefault="003E6D62" w:rsidP="001C3DB3">
      <w:pPr>
        <w:pStyle w:val="ListParagraph"/>
        <w:numPr>
          <w:ilvl w:val="0"/>
          <w:numId w:val="1"/>
        </w:numPr>
      </w:pPr>
      <w:r>
        <w:t>Later in discussion: d</w:t>
      </w:r>
      <w:r w:rsidR="001C3DB3">
        <w:t xml:space="preserve">iscuss other environmental factors that could influence flowering time in our dataset – including drought (LINC </w:t>
      </w:r>
      <w:proofErr w:type="spellStart"/>
      <w:r w:rsidR="001C3DB3">
        <w:t>fourway</w:t>
      </w:r>
      <w:proofErr w:type="spellEnd"/>
      <w:r w:rsidR="001C3DB3">
        <w:t xml:space="preserve"> flowering</w:t>
      </w:r>
      <w:r>
        <w:t>, maybe TMPL 2019 in diversity panel</w:t>
      </w:r>
      <w:r w:rsidR="001C3DB3">
        <w:t>) and weirdness at KING.</w:t>
      </w:r>
    </w:p>
    <w:sectPr w:rsidR="001C3D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4642F3A"/>
    <w:multiLevelType w:val="hybridMultilevel"/>
    <w:tmpl w:val="2F1818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CB1"/>
    <w:rsid w:val="00037DB5"/>
    <w:rsid w:val="0004154A"/>
    <w:rsid w:val="00064ADA"/>
    <w:rsid w:val="001C3DB3"/>
    <w:rsid w:val="003A6D8D"/>
    <w:rsid w:val="003E6D62"/>
    <w:rsid w:val="003F6189"/>
    <w:rsid w:val="004626A2"/>
    <w:rsid w:val="00856B5C"/>
    <w:rsid w:val="00865DFF"/>
    <w:rsid w:val="009B2326"/>
    <w:rsid w:val="00AE3F64"/>
    <w:rsid w:val="00B2786C"/>
    <w:rsid w:val="00B41D5D"/>
    <w:rsid w:val="00BD066D"/>
    <w:rsid w:val="00DE2354"/>
    <w:rsid w:val="00E35235"/>
    <w:rsid w:val="00F77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CC359"/>
  <w15:chartTrackingRefBased/>
  <w15:docId w15:val="{051ECB49-D533-4996-ACF3-C131E1D26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3D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4</Pages>
  <Words>893</Words>
  <Characters>5096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 MacQueen</dc:creator>
  <cp:keywords/>
  <dc:description/>
  <cp:lastModifiedBy>Alice MacQueen</cp:lastModifiedBy>
  <cp:revision>4</cp:revision>
  <dcterms:created xsi:type="dcterms:W3CDTF">2020-04-24T19:43:00Z</dcterms:created>
  <dcterms:modified xsi:type="dcterms:W3CDTF">2020-04-24T21:24:00Z</dcterms:modified>
</cp:coreProperties>
</file>