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AI＋医院药学：批注处理与证据核验清单</w:t>
      </w:r>
    </w:p>
    <w:p>
      <w:r>
        <w:t>已覆盖全部7条批注、原稿44项任务、11个模块；本次未完成外网文献核验，不作为系统检索最终版。</w:t>
      </w:r>
    </w:p>
    <w:p>
      <w:pPr>
        <w:pStyle w:val="Heading2"/>
      </w:pPr>
      <w:r>
        <w:t>批注0：总体要求：1。增加国外案例、2.增加学术文献的搜索 3.不用每个都只有一个案例，可以多几个供我们选择</w:t>
      </w:r>
    </w:p>
    <w:p>
      <w:r>
        <w:t>11个模块均增加多个国际模式/案例候选，并配39项文献或规范来源；将成熟实施、方法研究、治理规范和未核验线索分开。</w:t>
      </w:r>
    </w:p>
    <w:p>
      <w:pPr>
        <w:pStyle w:val="Heading2"/>
      </w:pPr>
      <w:r>
        <w:t>批注1：可以以文稿的形式，生成人工智能用于医院药学的概况，在各个方面应用的国内外进展</w:t>
      </w:r>
    </w:p>
    <w:p>
      <w:r>
        <w:t>导论增写医院药学AI概况，按信息化、自动化、规则、预测与生成式AI梳理国内外进展及人机责任。</w:t>
      </w:r>
    </w:p>
    <w:p>
      <w:pPr>
        <w:pStyle w:val="Heading2"/>
      </w:pPr>
      <w:r>
        <w:t>批注2：这个也可以融入一些GSP相关的案例，不一定局限于医院</w:t>
      </w:r>
    </w:p>
    <w:p>
      <w:r>
        <w:t>采购储养模块增加WHO储存配送规范、欧盟GDP、美国DSCSA和欧盟药品核验制度，并设计批发/物流迁移任务。</w:t>
      </w:r>
    </w:p>
    <w:p>
      <w:pPr>
        <w:pStyle w:val="Heading2"/>
      </w:pPr>
      <w:r>
        <w:t>批注3：自动化调剂；智慧药房管理，希望有多个案例</w:t>
      </w:r>
    </w:p>
    <w:p>
      <w:r>
        <w:t>调剂模块扩充CPOE/条码闭环、机器人药房、北欧分包/图像核对多个路径，不只提供单一厂商。</w:t>
      </w:r>
    </w:p>
    <w:p>
      <w:pPr>
        <w:pStyle w:val="Heading2"/>
      </w:pPr>
      <w:r>
        <w:t>批注4：住院第一医院就有分剂量以后的视觉检测，用于初步核对</w:t>
      </w:r>
    </w:p>
    <w:p>
      <w:r>
        <w:t>新增住院分剂量药袋视觉初核与错药、缺片、多片、遮挡、拒识测试；原批注机构全称未明，保留待确认。</w:t>
      </w:r>
    </w:p>
    <w:p>
      <w:pPr>
        <w:pStyle w:val="Heading2"/>
      </w:pPr>
      <w:r>
        <w:t>批注5：中药是不是；；有形态鉴别、优劣的人工智能？</w:t>
      </w:r>
    </w:p>
    <w:p>
      <w:r>
        <w:t>中药部分增加形态视觉、光谱/化学计量、掺伪与身份验证任务；区分种属鉴别、质量评价、炮制及煎煮安全。</w:t>
      </w:r>
    </w:p>
    <w:p>
      <w:pPr>
        <w:pStyle w:val="Heading2"/>
      </w:pPr>
      <w:r>
        <w:t>批注6：这个合理用药决策支持之类的也可以</w:t>
      </w:r>
    </w:p>
    <w:p>
      <w:r>
        <w:t>药物临床应用模块加入Intermountain/LDS抗感染CDSS、TREAT研究及国际主动药物警戒模式。</w:t>
      </w:r>
    </w:p>
    <w:p>
      <w:pPr>
        <w:pStyle w:val="Heading1"/>
      </w:pPr>
      <w:r>
        <w:t>需编委确认</w:t>
      </w:r>
    </w:p>
    <w:p>
      <w:r>
        <w:t>“住院第一医院”机构全称；国内公告原文及版本；中药实训数据条件；教材学段和课时。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