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widowControl/>
        <w:spacing w:before="0" w:after="360" w:line="240" w:lineRule="auto"/>
      </w:pPr>
      <w:r>
        <w:rPr>
          <w:b/>
          <w:color w:val="1B8A70"/>
          <w:sz w:val="20"/>
        </w:rPr>
        <w:t>JVY0101</w:t>
      </w:r>
      <w:r>
        <w:rPr>
          <w:sz w:val="20"/>
        </w:rPr>
        <w:t xml:space="preserve">  |  JAVA: DISEÑO Y CONSTRUCCIÓN DE SOLUCIONES NATIVAS EN NUBE</w:t>
      </w:r>
    </w:p>
    <w:p>
      <w:pPr>
        <w:pStyle w:val="CoverTitle"/>
      </w:pPr>
      <w:r>
        <w:t>MindSet</w:t>
      </w:r>
    </w:p>
    <w:p>
      <w:pPr>
        <w:pStyle w:val="CoverSubtitle"/>
      </w:pPr>
      <w:r>
        <w:t>Documento principal del proyecto</w:t>
      </w:r>
    </w:p>
    <w:p>
      <w:pPr>
        <w:widowControl/>
        <w:spacing w:before="0" w:after="560" w:line="252" w:lineRule="auto"/>
      </w:pPr>
      <w:r>
        <w:rPr>
          <w:color w:val="5F6B7A"/>
          <w:sz w:val="26"/>
        </w:rPr>
        <w:t>Plataforma cloud-native de bienestar y apoyo estudiantil</w:t>
      </w:r>
    </w:p>
    <w:tbl>
      <w:tblPr>
        <w:tblW w:type="auto" w:w="0"/>
        <w:jc w:val="center"/>
        <w:tblLayout w:type="fixed"/>
        <w:tblLook w:firstColumn="1" w:firstRow="1" w:lastColumn="0" w:lastRow="0" w:noHBand="0" w:noVBand="1" w:val="04A0"/>
      </w:tblPr>
      <w:tblGrid>
        <w:gridCol w:w="4680"/>
        <w:gridCol w:w="4680"/>
      </w:tblGrid>
      <w:tr>
        <w:tc>
          <w:tcPr>
            <w:tcW w:type="dxa" w:w="2376"/>
            <w:shd w:fill="16365C"/>
            <w:tcBorders>
              <w:top w:val="single" w:sz="4" w:color="C8D1DC"/>
              <w:left w:val="single" w:sz="4" w:color="C8D1DC"/>
              <w:bottom w:val="single" w:sz="4" w:color="C8D1DC"/>
              <w:right w:val="single" w:sz="4" w:color="C8D1DC"/>
              <w:insideH w:val="single" w:sz="4" w:color="C8D1DC"/>
              <w:insideV w:val="single" w:sz="4" w:color="C8D1DC"/>
            </w:tcBorders>
            <w:tcMar>
              <w:top w:w="120" w:type="dxa"/>
              <w:start w:w="120" w:type="dxa"/>
              <w:bottom w:w="120" w:type="dxa"/>
              <w:end w:w="120" w:type="dxa"/>
            </w:tcMar>
            <w:vAlign w:val="center"/>
          </w:tcPr>
          <w:p>
            <w:pPr>
              <w:widowControl/>
              <w:spacing w:before="0" w:after="0" w:line="240" w:lineRule="auto"/>
            </w:pPr>
            <w:r>
              <w:rPr>
                <w:b/>
                <w:color w:val="FFFFFF"/>
                <w:sz w:val="20"/>
              </w:rPr>
              <w:t>Estudiante</w:t>
            </w:r>
          </w:p>
        </w:tc>
        <w:tc>
          <w:tcPr>
            <w:tcW w:type="dxa" w:w="6983"/>
            <w:shd w:fill="FFFFFF"/>
            <w:tcBorders>
              <w:top w:val="single" w:sz="4" w:color="C8D1DC"/>
              <w:left w:val="single" w:sz="4" w:color="C8D1DC"/>
              <w:bottom w:val="single" w:sz="4" w:color="C8D1DC"/>
              <w:right w:val="single" w:sz="4" w:color="C8D1DC"/>
              <w:insideH w:val="single" w:sz="4" w:color="C8D1DC"/>
              <w:insideV w:val="single" w:sz="4" w:color="C8D1DC"/>
            </w:tcBorders>
            <w:tcMar>
              <w:top w:w="120" w:type="dxa"/>
              <w:start w:w="120" w:type="dxa"/>
              <w:bottom w:w="120" w:type="dxa"/>
              <w:end w:w="120" w:type="dxa"/>
            </w:tcMar>
            <w:vAlign w:val="center"/>
          </w:tcPr>
          <w:p>
            <w:pPr>
              <w:widowControl/>
              <w:spacing w:before="0" w:after="0" w:line="240" w:lineRule="auto"/>
            </w:pPr>
            <w:r>
              <w:rPr>
                <w:sz w:val="20"/>
              </w:rPr>
              <w:t>Alexis Carrasco Salgado</w:t>
            </w:r>
          </w:p>
        </w:tc>
      </w:tr>
      <w:tr>
        <w:tc>
          <w:tcPr>
            <w:tcW w:type="dxa" w:w="2376"/>
            <w:shd w:fill="16365C"/>
            <w:tcBorders>
              <w:top w:val="single" w:sz="4" w:color="C8D1DC"/>
              <w:left w:val="single" w:sz="4" w:color="C8D1DC"/>
              <w:bottom w:val="single" w:sz="4" w:color="C8D1DC"/>
              <w:right w:val="single" w:sz="4" w:color="C8D1DC"/>
              <w:insideH w:val="single" w:sz="4" w:color="C8D1DC"/>
              <w:insideV w:val="single" w:sz="4" w:color="C8D1DC"/>
            </w:tcBorders>
            <w:tcMar>
              <w:top w:w="120" w:type="dxa"/>
              <w:start w:w="120" w:type="dxa"/>
              <w:bottom w:w="120" w:type="dxa"/>
              <w:end w:w="120" w:type="dxa"/>
            </w:tcMar>
            <w:vAlign w:val="center"/>
          </w:tcPr>
          <w:p>
            <w:pPr>
              <w:widowControl/>
              <w:spacing w:before="0" w:after="0" w:line="240" w:lineRule="auto"/>
            </w:pPr>
            <w:r>
              <w:rPr>
                <w:b/>
                <w:color w:val="FFFFFF"/>
                <w:sz w:val="20"/>
              </w:rPr>
              <w:t>Modalidad</w:t>
            </w:r>
          </w:p>
        </w:tc>
        <w:tc>
          <w:tcPr>
            <w:tcW w:type="dxa" w:w="6983"/>
            <w:shd w:fill="F2F4F7"/>
            <w:tcBorders>
              <w:top w:val="single" w:sz="4" w:color="C8D1DC"/>
              <w:left w:val="single" w:sz="4" w:color="C8D1DC"/>
              <w:bottom w:val="single" w:sz="4" w:color="C8D1DC"/>
              <w:right w:val="single" w:sz="4" w:color="C8D1DC"/>
              <w:insideH w:val="single" w:sz="4" w:color="C8D1DC"/>
              <w:insideV w:val="single" w:sz="4" w:color="C8D1DC"/>
            </w:tcBorders>
            <w:tcMar>
              <w:top w:w="120" w:type="dxa"/>
              <w:start w:w="120" w:type="dxa"/>
              <w:bottom w:w="120" w:type="dxa"/>
              <w:end w:w="120" w:type="dxa"/>
            </w:tcMar>
            <w:vAlign w:val="center"/>
          </w:tcPr>
          <w:p>
            <w:pPr>
              <w:widowControl/>
              <w:spacing w:before="0" w:after="0" w:line="240" w:lineRule="auto"/>
            </w:pPr>
            <w:r>
              <w:rPr>
                <w:sz w:val="20"/>
              </w:rPr>
              <w:t>Proyecto individual</w:t>
            </w:r>
          </w:p>
        </w:tc>
      </w:tr>
      <w:tr>
        <w:tc>
          <w:tcPr>
            <w:tcW w:type="dxa" w:w="2376"/>
            <w:shd w:fill="16365C"/>
            <w:tcBorders>
              <w:top w:val="single" w:sz="4" w:color="C8D1DC"/>
              <w:left w:val="single" w:sz="4" w:color="C8D1DC"/>
              <w:bottom w:val="single" w:sz="4" w:color="C8D1DC"/>
              <w:right w:val="single" w:sz="4" w:color="C8D1DC"/>
              <w:insideH w:val="single" w:sz="4" w:color="C8D1DC"/>
              <w:insideV w:val="single" w:sz="4" w:color="C8D1DC"/>
            </w:tcBorders>
            <w:tcMar>
              <w:top w:w="120" w:type="dxa"/>
              <w:start w:w="120" w:type="dxa"/>
              <w:bottom w:w="120" w:type="dxa"/>
              <w:end w:w="120" w:type="dxa"/>
            </w:tcMar>
            <w:vAlign w:val="center"/>
          </w:tcPr>
          <w:p>
            <w:pPr>
              <w:widowControl/>
              <w:spacing w:before="0" w:after="0" w:line="240" w:lineRule="auto"/>
            </w:pPr>
            <w:r>
              <w:rPr>
                <w:b/>
                <w:color w:val="FFFFFF"/>
                <w:sz w:val="20"/>
              </w:rPr>
              <w:t>Asignatura</w:t>
            </w:r>
          </w:p>
        </w:tc>
        <w:tc>
          <w:tcPr>
            <w:tcW w:type="dxa" w:w="6983"/>
            <w:shd w:fill="FFFFFF"/>
            <w:tcBorders>
              <w:top w:val="single" w:sz="4" w:color="C8D1DC"/>
              <w:left w:val="single" w:sz="4" w:color="C8D1DC"/>
              <w:bottom w:val="single" w:sz="4" w:color="C8D1DC"/>
              <w:right w:val="single" w:sz="4" w:color="C8D1DC"/>
              <w:insideH w:val="single" w:sz="4" w:color="C8D1DC"/>
              <w:insideV w:val="single" w:sz="4" w:color="C8D1DC"/>
            </w:tcBorders>
            <w:tcMar>
              <w:top w:w="120" w:type="dxa"/>
              <w:start w:w="120" w:type="dxa"/>
              <w:bottom w:w="120" w:type="dxa"/>
              <w:end w:w="120" w:type="dxa"/>
            </w:tcMar>
            <w:vAlign w:val="center"/>
          </w:tcPr>
          <w:p>
            <w:pPr>
              <w:widowControl/>
              <w:spacing w:before="0" w:after="0" w:line="240" w:lineRule="auto"/>
            </w:pPr>
            <w:r>
              <w:rPr>
                <w:sz w:val="20"/>
              </w:rPr>
              <w:t>JVY0101</w:t>
            </w:r>
          </w:p>
        </w:tc>
      </w:tr>
      <w:tr>
        <w:tc>
          <w:tcPr>
            <w:tcW w:type="dxa" w:w="2376"/>
            <w:shd w:fill="16365C"/>
            <w:tcBorders>
              <w:top w:val="single" w:sz="4" w:color="C8D1DC"/>
              <w:left w:val="single" w:sz="4" w:color="C8D1DC"/>
              <w:bottom w:val="single" w:sz="4" w:color="C8D1DC"/>
              <w:right w:val="single" w:sz="4" w:color="C8D1DC"/>
              <w:insideH w:val="single" w:sz="4" w:color="C8D1DC"/>
              <w:insideV w:val="single" w:sz="4" w:color="C8D1DC"/>
            </w:tcBorders>
            <w:tcMar>
              <w:top w:w="120" w:type="dxa"/>
              <w:start w:w="120" w:type="dxa"/>
              <w:bottom w:w="120" w:type="dxa"/>
              <w:end w:w="120" w:type="dxa"/>
            </w:tcMar>
            <w:vAlign w:val="center"/>
          </w:tcPr>
          <w:p>
            <w:pPr>
              <w:widowControl/>
              <w:spacing w:before="0" w:after="0" w:line="240" w:lineRule="auto"/>
            </w:pPr>
            <w:r>
              <w:rPr>
                <w:b/>
                <w:color w:val="FFFFFF"/>
                <w:sz w:val="20"/>
              </w:rPr>
              <w:t>Versión</w:t>
            </w:r>
          </w:p>
        </w:tc>
        <w:tc>
          <w:tcPr>
            <w:tcW w:type="dxa" w:w="6983"/>
            <w:shd w:fill="F2F4F7"/>
            <w:tcBorders>
              <w:top w:val="single" w:sz="4" w:color="C8D1DC"/>
              <w:left w:val="single" w:sz="4" w:color="C8D1DC"/>
              <w:bottom w:val="single" w:sz="4" w:color="C8D1DC"/>
              <w:right w:val="single" w:sz="4" w:color="C8D1DC"/>
              <w:insideH w:val="single" w:sz="4" w:color="C8D1DC"/>
              <w:insideV w:val="single" w:sz="4" w:color="C8D1DC"/>
            </w:tcBorders>
            <w:tcMar>
              <w:top w:w="120" w:type="dxa"/>
              <w:start w:w="120" w:type="dxa"/>
              <w:bottom w:w="120" w:type="dxa"/>
              <w:end w:w="120" w:type="dxa"/>
            </w:tcMar>
            <w:vAlign w:val="center"/>
          </w:tcPr>
          <w:p>
            <w:pPr>
              <w:widowControl/>
              <w:spacing w:before="0" w:after="0" w:line="240" w:lineRule="auto"/>
            </w:pPr>
            <w:r>
              <w:rPr>
                <w:sz w:val="20"/>
              </w:rPr>
              <w:t>0.4 · Consolidación para la Evaluación Parcial N.º 1</w:t>
            </w:r>
          </w:p>
        </w:tc>
      </w:tr>
    </w:tbl>
    <w:p>
      <w:pPr>
        <w:spacing w:after="1080"/>
      </w:pPr>
    </w:p>
    <w:p>
      <w:pPr>
        <w:widowControl/>
        <w:spacing w:before="0" w:after="0" w:line="240" w:lineRule="auto"/>
        <w:jc w:val="left"/>
      </w:pPr>
      <w:r>
        <w:rPr>
          <w:color w:val="5F6B7A"/>
          <w:sz w:val="20"/>
        </w:rPr>
        <w:t>Agosto de 2026</w:t>
      </w:r>
    </w:p>
    <w:p>
      <w:r>
        <w:br w:type="page"/>
      </w:r>
    </w:p>
    <w:p>
      <w:pPr>
        <w:pStyle w:val="Heading1"/>
        <w:keepNext/>
      </w:pPr>
      <w:r>
        <w:t>1. Propósito y control del documento</w:t>
      </w:r>
    </w:p>
    <w:p>
      <w:pPr>
        <w:widowControl/>
        <w:spacing w:before="0" w:after="120" w:line="264" w:lineRule="auto"/>
      </w:pPr>
      <w:r>
        <w:t>Este documento reúne la definición vigente de MindSet. Su función es mantener en un solo lugar el problema que se busca resolver, el alcance, los requisitos resumidos, las reglas principales y las decisiones de arquitectura. La matriz de requisitos y el diagrama conservan el detalle técnico y se administran como anexos del mismo proyecto.</w:t>
      </w:r>
    </w:p>
    <w:tbl>
      <w:tblPr>
        <w:tblW w:type="auto" w:w="0"/>
        <w:jc w:val="center"/>
        <w:tblLayout w:type="fixed"/>
        <w:tblLook w:firstColumn="1" w:firstRow="1" w:lastColumn="0" w:lastRow="0" w:noHBand="0" w:noVBand="1" w:val="04A0"/>
      </w:tblPr>
      <w:tblGrid>
        <w:gridCol w:w="9360"/>
      </w:tblGrid>
      <w:tr>
        <w:tc>
          <w:tcPr>
            <w:tcW w:type="dxa" w:w="9360"/>
            <w:shd w:fill="EAF5F1"/>
            <w:tcMar>
              <w:top w:w="120" w:type="dxa"/>
              <w:start w:w="160" w:type="dxa"/>
              <w:bottom w:w="120" w:type="dxa"/>
              <w:end w:w="160" w:type="dxa"/>
            </w:tcMar>
            <w:tcBorders>
              <w:top w:val="single" w:sz="0" w:color="EAF5F1"/>
              <w:left w:val="single" w:sz="18" w:color="1B8A70"/>
              <w:bottom w:val="single" w:sz="0" w:color="EAF5F1"/>
              <w:right w:val="single" w:sz="0" w:color="EAF5F1"/>
              <w:insideH w:val="single" w:sz="0" w:color="EAF5F1"/>
              <w:insideV w:val="single" w:sz="0" w:color="EAF5F1"/>
            </w:tcBorders>
          </w:tcPr>
          <w:p>
            <w:pPr>
              <w:widowControl/>
              <w:spacing w:before="0" w:after="0" w:line="259" w:lineRule="auto"/>
            </w:pPr>
            <w:r>
              <w:rPr>
                <w:b/>
                <w:color w:val="1B8A70"/>
              </w:rPr>
              <w:t xml:space="preserve">Estado actual. </w:t>
            </w:r>
            <w:r>
              <w:t>La versión 0.4 corresponde a la línea de trabajo utilizada para la Evaluación Parcial N.º 1. Las siguientes evaluaciones podrán ampliar la implementación, pero cualquier cambio deberá registrarse primero en la matriz y en el historial de versiones.</w:t>
            </w:r>
          </w:p>
        </w:tc>
      </w:tr>
    </w:tbl>
    <w:p>
      <w:pPr>
        <w:spacing w:after="0"/>
      </w:pPr>
    </w:p>
    <w:p>
      <w:pPr>
        <w:pStyle w:val="Heading2"/>
        <w:keepNext/>
      </w:pPr>
      <w:r>
        <w:t>1.1 Documentos que componen la línea base</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088"/>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Documento</w:t>
            </w:r>
          </w:p>
        </w:tc>
        <w:tc>
          <w:tcPr>
            <w:tcW w:type="dxa" w:w="3240"/>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Contenido</w:t>
            </w:r>
          </w:p>
        </w:tc>
        <w:tc>
          <w:tcPr>
            <w:tcW w:type="dxa" w:w="4031"/>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Ubicación prevista</w:t>
            </w:r>
          </w:p>
        </w:tc>
      </w:tr>
      <w:tr>
        <w:trPr>
          <w:cantSplit/>
        </w:trPr>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Documento principal</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Caso, alcance, actores y decisiones vigentes.</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MindSet/documentacion/Documento_Principal_MindSet.docx</w:t>
            </w:r>
          </w:p>
        </w:tc>
      </w:tr>
      <w:tr>
        <w:trPr>
          <w:cantSplit/>
        </w:trPr>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Matriz de requisitos</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RF, RNF, criterios de aceptación, impacto y reglas.</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MindSet/documentacion/Matriz_Requerimientos_MindSet.xlsx</w:t>
            </w:r>
          </w:p>
        </w:tc>
      </w:tr>
      <w:tr>
        <w:trPr>
          <w:cantSplit/>
        </w:trPr>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Diagrama editable</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Arquitectura completa y flujos de comunicación.</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MindSet/anexos/arquitectura-mindset.drawio</w:t>
            </w:r>
          </w:p>
        </w:tc>
      </w:tr>
      <w:tr>
        <w:trPr>
          <w:cantSplit/>
        </w:trPr>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Imagen del diagrama</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Versión exportada para la entrega y el video.</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MindSet/anexos/arquitectura-mindset.png</w:t>
            </w:r>
          </w:p>
        </w:tc>
      </w:tr>
    </w:tbl>
    <w:p>
      <w:pPr>
        <w:spacing w:after="0"/>
      </w:pPr>
    </w:p>
    <w:p>
      <w:pPr>
        <w:pStyle w:val="Heading2"/>
        <w:keepNext/>
      </w:pPr>
      <w:r>
        <w:t>1.2 Historial de versiones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007"/>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Versión</w:t>
            </w:r>
          </w:p>
        </w:tc>
        <w:tc>
          <w:tcPr>
            <w:tcW w:type="dxa" w:w="1584"/>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Fecha</w:t>
            </w:r>
          </w:p>
        </w:tc>
        <w:tc>
          <w:tcPr>
            <w:tcW w:type="dxa" w:w="5544"/>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Cambio principal</w:t>
            </w:r>
          </w:p>
        </w:tc>
        <w:tc>
          <w:tcPr>
            <w:tcW w:type="dxa" w:w="1224"/>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Estado</w:t>
            </w:r>
          </w:p>
        </w:tc>
      </w:tr>
      <w:tr>
        <w:trPr>
          <w:cantSplit/>
        </w:trPr>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0.1</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2026-08</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Adaptación y reducción del caso original MindSet.</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Superada</w:t>
            </w:r>
          </w:p>
        </w:tc>
      </w:tr>
      <w:tr>
        <w:trPr>
          <w:cantSplit/>
        </w:trPr>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0.2</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2026-08</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Definición inicial de actores y cuatro microservicios.</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Superada</w:t>
            </w:r>
          </w:p>
        </w:tc>
      </w:tr>
      <w:tr>
        <w:trPr>
          <w:cantSplit/>
        </w:trPr>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0.3</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2026-08-30</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Línea base de 19 RF, 10 RNF y 22 reglas de negocio.</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Aprobada</w:t>
            </w:r>
          </w:p>
        </w:tc>
      </w:tr>
      <w:tr>
        <w:trPr>
          <w:cantSplit/>
        </w:trPr>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0.4</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2026-09-01</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Consolidación del documento principal y arquitectura EP1.</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Vigente</w:t>
            </w:r>
          </w:p>
        </w:tc>
      </w:tr>
    </w:tbl>
    <w:p>
      <w:pPr>
        <w:spacing w:after="0"/>
      </w:pPr>
    </w:p>
    <w:p>
      <w:r>
        <w:br w:type="page"/>
      </w:r>
    </w:p>
    <w:p>
      <w:pPr>
        <w:pStyle w:val="Heading1"/>
        <w:keepNext/>
      </w:pPr>
      <w:r>
        <w:t>2. Presentación del proyecto</w:t>
      </w:r>
    </w:p>
    <w:p>
      <w:pPr>
        <w:pStyle w:val="Heading2"/>
        <w:keepNext/>
      </w:pPr>
      <w:r>
        <w:t>2.1 Contexto</w:t>
      </w:r>
    </w:p>
    <w:p>
      <w:pPr>
        <w:widowControl/>
        <w:spacing w:before="0" w:after="120" w:line="264" w:lineRule="auto"/>
      </w:pPr>
      <w:r>
        <w:t>MindSet es una plataforma web orientada a instituciones de educación superior. Permite que los estudiantes registren voluntariamente cómo se sintieron durante el día y soliciten una cita con profesionales del área de bienestar estudiantil. Los profesionales mantienen su perfil y disponibilidad, mientras que el sistema coordina la asignación de horarios.</w:t>
      </w:r>
    </w:p>
    <w:p>
      <w:pPr>
        <w:widowControl/>
        <w:spacing w:before="0" w:after="120" w:line="264" w:lineRule="auto"/>
      </w:pPr>
      <w:r>
        <w:t>La plataforma se plantea como una herramienta de registro y coordinación. No intenta evaluar clínicamente al estudiante ni reemplazar el trabajo de un profesional. Esta separación es importante porque el diario contiene información personal que debe conservarse con acceso restringido.</w:t>
      </w:r>
    </w:p>
    <w:p>
      <w:pPr>
        <w:pStyle w:val="Heading2"/>
        <w:keepNext/>
      </w:pPr>
      <w:r>
        <w:t>2.2 Problemática</w:t>
      </w:r>
    </w:p>
    <w:p>
      <w:pPr>
        <w:widowControl/>
        <w:spacing w:before="0" w:after="120" w:line="264" w:lineRule="auto"/>
      </w:pPr>
      <w:r>
        <w:t>En periodos de alta demanda, como semanas de evaluaciones o cierre de semestre, varias solicitudes pueden llegar al mismo tiempo. Si la búsqueda y la reserva de un profesional se realizaran dentro de la misma petición del estudiante, la respuesta dependería por completo de que todos los componentes estuvieran disponibles y podría demorar más de lo aceptable.</w:t>
      </w:r>
    </w:p>
    <w:p>
      <w:pPr>
        <w:widowControl/>
        <w:spacing w:before="0" w:after="120" w:line="264" w:lineRule="auto"/>
      </w:pPr>
      <w:r>
        <w:t>MindSet separa la recepción de la solicitud de su procesamiento. El estudiante recibe una confirmación inmediata con estado PENDIENTE y la asignación se realiza de forma asíncrona. De este modo, una falla temporal no hace desaparecer la solicitud y el sistema puede reintentarla de manera controlada.</w:t>
      </w:r>
    </w:p>
    <w:p>
      <w:pPr>
        <w:pStyle w:val="Heading2"/>
        <w:keepNext/>
      </w:pPr>
      <w:r>
        <w:t>2.3 Objetivos</w:t>
      </w:r>
    </w:p>
    <w:p>
      <w:pPr>
        <w:widowControl/>
        <w:spacing w:before="0" w:after="120" w:line="264" w:lineRule="auto"/>
      </w:pPr>
      <w:r>
        <w:rPr>
          <w:b/>
        </w:rPr>
        <w:t xml:space="preserve">Objetivo general. </w:t>
      </w:r>
      <w:r>
        <w:t>Diseñar e implementar una solución cloud-native basada en microservicios que permita registrar información emocional básica y coordinar solicitudes de atención estudiantil de manera segura, mantenible y escalable.</w:t>
      </w:r>
    </w:p>
    <w:p>
      <w:pPr>
        <w:keepNext/>
        <w:widowControl/>
        <w:spacing w:before="40" w:after="60" w:line="240" w:lineRule="auto"/>
      </w:pPr>
      <w:r>
        <w:rPr>
          <w:b/>
          <w:color w:val="1B8A70"/>
          <w:sz w:val="18"/>
        </w:rPr>
        <w:t>OBJETIVOS ESPECÍFICOS</w:t>
      </w:r>
    </w:p>
    <w:p>
      <w:pPr>
        <w:pStyle w:val="ListBullet"/>
        <w:widowControl/>
        <w:spacing w:before="0" w:after="80" w:line="259" w:lineRule="auto"/>
      </w:pPr>
      <w:r>
        <w:t>Separar identidad, diario emocional, disponibilidad profesional y solicitudes de cita en servicios con responsabilidad única.</w:t>
      </w:r>
    </w:p>
    <w:p>
      <w:pPr>
        <w:pStyle w:val="ListBullet"/>
        <w:widowControl/>
        <w:spacing w:before="0" w:after="80" w:line="259" w:lineRule="auto"/>
      </w:pPr>
      <w:r>
        <w:t>Mantener la privacidad de los registros emocionales y limitar el acceso según rol y propiedad de los datos.</w:t>
      </w:r>
    </w:p>
    <w:p>
      <w:pPr>
        <w:pStyle w:val="ListBullet"/>
        <w:widowControl/>
        <w:spacing w:before="0" w:after="80" w:line="259" w:lineRule="auto"/>
      </w:pPr>
      <w:r>
        <w:t>Procesar la asignación de citas de forma asíncrona para conservar solicitudes y soportar aumentos de demanda.</w:t>
      </w:r>
    </w:p>
    <w:p>
      <w:pPr>
        <w:pStyle w:val="ListBullet"/>
        <w:widowControl/>
        <w:spacing w:before="0" w:after="80" w:line="259" w:lineRule="auto"/>
      </w:pPr>
      <w:r>
        <w:t>Permitir que cada microservicio evolucione, se pruebe y se despliegue sin compartir tablas con los demás.</w:t>
      </w:r>
    </w:p>
    <w:p>
      <w:r>
        <w:br w:type="page"/>
      </w:r>
    </w:p>
    <w:p>
      <w:pPr>
        <w:pStyle w:val="Heading1"/>
        <w:keepNext/>
      </w:pPr>
      <w:r>
        <w:t>3. Alcance de la primera versión</w:t>
      </w:r>
    </w:p>
    <w:p>
      <w:pPr>
        <w:pStyle w:val="Heading2"/>
        <w:keepNext/>
      </w:pPr>
      <w:r>
        <w:t>3.1 Funciones incluidas</w:t>
      </w:r>
    </w:p>
    <w:p>
      <w:pPr>
        <w:pStyle w:val="ListBullet"/>
        <w:widowControl/>
        <w:spacing w:before="0" w:after="80" w:line="259" w:lineRule="auto"/>
      </w:pPr>
      <w:r>
        <w:t>Registro de estudiantes, inicio de sesión y autorización mediante roles.</w:t>
      </w:r>
    </w:p>
    <w:p>
      <w:pPr>
        <w:pStyle w:val="ListBullet"/>
        <w:widowControl/>
        <w:spacing w:before="0" w:after="80" w:line="259" w:lineRule="auto"/>
      </w:pPr>
      <w:r>
        <w:t>Creación de cuentas profesionales por un administrador autorizado.</w:t>
      </w:r>
    </w:p>
    <w:p>
      <w:pPr>
        <w:pStyle w:val="ListBullet"/>
        <w:widowControl/>
        <w:spacing w:before="0" w:after="80" w:line="259" w:lineRule="auto"/>
      </w:pPr>
      <w:r>
        <w:t>Registro de un estado emocional diario mediante una opción del 1 al 5 y un comentario opcional.</w:t>
      </w:r>
    </w:p>
    <w:p>
      <w:pPr>
        <w:pStyle w:val="ListBullet"/>
        <w:widowControl/>
        <w:spacing w:before="0" w:after="80" w:line="259" w:lineRule="auto"/>
      </w:pPr>
      <w:r>
        <w:t>Consulta del historial emocional y de un promedio informativo de los últimos siete días.</w:t>
      </w:r>
    </w:p>
    <w:p>
      <w:pPr>
        <w:pStyle w:val="ListBullet"/>
        <w:widowControl/>
        <w:spacing w:before="0" w:after="80" w:line="259" w:lineRule="auto"/>
      </w:pPr>
      <w:r>
        <w:t>Gestión del perfil y de los horarios disponibles de cada profesional.</w:t>
      </w:r>
    </w:p>
    <w:p>
      <w:pPr>
        <w:pStyle w:val="ListBullet"/>
        <w:widowControl/>
        <w:spacing w:before="0" w:after="80" w:line="259" w:lineRule="auto"/>
      </w:pPr>
      <w:r>
        <w:t>Creación, asignación, consulta y finalización de solicitudes de cita.</w:t>
      </w:r>
    </w:p>
    <w:p>
      <w:pPr>
        <w:pStyle w:val="ListBullet"/>
        <w:widowControl/>
        <w:spacing w:before="0" w:after="80" w:line="259" w:lineRule="auto"/>
      </w:pPr>
      <w:r>
        <w:t>Notificación por correo cuando una solicitud resulte confirmada o rechazada.</w:t>
      </w:r>
    </w:p>
    <w:p>
      <w:pPr>
        <w:pStyle w:val="Heading2"/>
        <w:keepNext/>
      </w:pPr>
      <w:r>
        <w:t>3.2 Funciones fuera de alcance</w:t>
      </w:r>
    </w:p>
    <w:p>
      <w:pPr>
        <w:widowControl/>
        <w:spacing w:before="0" w:after="120" w:line="264" w:lineRule="auto"/>
      </w:pPr>
      <w:r>
        <w:t>La primera versión no incluirá chatbot, inteligencia artificial, diagnóstico clínico, detección automática de crisis, comunidad estudiantil, moderación, biblioteca multimedia, aplicación móvil, multidioma, calendarios externos, reportes avanzados ni cancelación de citas. Estas ideas pueden revisarse en una versión posterior, pero no condicionan el proyecto semestral actual.</w:t>
      </w:r>
    </w:p>
    <w:p>
      <w:pPr>
        <w:pStyle w:val="Heading2"/>
        <w:keepNext/>
      </w:pPr>
      <w:r>
        <w:t>3.3 Actores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584"/>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Actor</w:t>
            </w:r>
          </w:p>
        </w:tc>
        <w:tc>
          <w:tcPr>
            <w:tcW w:type="dxa" w:w="4320"/>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Responsabilidad dentro de MindSet</w:t>
            </w:r>
          </w:p>
        </w:tc>
        <w:tc>
          <w:tcPr>
            <w:tcW w:type="dxa" w:w="3456"/>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Límite de acceso</w:t>
            </w:r>
          </w:p>
        </w:tc>
      </w:tr>
      <w:tr>
        <w:trPr>
          <w:cantSplit/>
        </w:trPr>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Estudiante</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Registra su estado emocional, consulta su historial y solicita citas.</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Solo puede consultar sus propios registros y solicitudes.</w:t>
            </w:r>
          </w:p>
        </w:tc>
      </w:tr>
      <w:tr>
        <w:trPr>
          <w:cantSplit/>
        </w:trPr>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Profesional</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Completa su perfil, administra sus horarios y atiende las citas asignadas.</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No puede consultar agendas ajenas ni diarios emocionales.</w:t>
            </w:r>
          </w:p>
        </w:tc>
      </w:tr>
      <w:tr>
        <w:trPr>
          <w:cantSplit/>
        </w:trPr>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Administrador</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Registra cuentas profesionales y les asigna el rol correspondiente.</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No posee acceso general al diario ni actúa dentro de cuentas personales.</w:t>
            </w:r>
          </w:p>
        </w:tc>
      </w:tr>
      <w:tr>
        <w:trPr>
          <w:cantSplit/>
        </w:trPr>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Sistema MindSet</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Procesa solicitudes, reserva horarios y genera notificaciones.</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Opera mediante contratos y permisos técnicos de mínimo privilegio.</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360"/>
            <w:shd w:fill="EAF2F8"/>
            <w:tcMar>
              <w:top w:w="120" w:type="dxa"/>
              <w:start w:w="160" w:type="dxa"/>
              <w:bottom w:w="120" w:type="dxa"/>
              <w:end w:w="160" w:type="dxa"/>
            </w:tcMar>
            <w:tcBorders>
              <w:top w:val="single" w:sz="0" w:color="EAF2F8"/>
              <w:left w:val="single" w:sz="18" w:color="2E74B5"/>
              <w:bottom w:val="single" w:sz="0" w:color="EAF2F8"/>
              <w:right w:val="single" w:sz="0" w:color="EAF2F8"/>
              <w:insideH w:val="single" w:sz="0" w:color="EAF2F8"/>
              <w:insideV w:val="single" w:sz="0" w:color="EAF2F8"/>
            </w:tcBorders>
          </w:tcPr>
          <w:p>
            <w:pPr>
              <w:widowControl/>
              <w:spacing w:before="0" w:after="0" w:line="259" w:lineRule="auto"/>
            </w:pPr>
            <w:r>
              <w:rPr>
                <w:b/>
                <w:color w:val="2E74B5"/>
              </w:rPr>
              <w:t xml:space="preserve">Criterio de administración. </w:t>
            </w:r>
            <w:r>
              <w:t>Para probar todas las funciones se utilizarán cuentas de prueba de cada rol. No se creará una cuenta de producción con acceso indiscriminado, porque sería contraria al principio de mínimo privilegio.</w:t>
            </w:r>
          </w:p>
        </w:tc>
      </w:tr>
    </w:tbl>
    <w:p>
      <w:pPr>
        <w:spacing w:after="0"/>
      </w:pPr>
    </w:p>
    <w:p>
      <w:r>
        <w:br w:type="page"/>
      </w:r>
    </w:p>
    <w:p>
      <w:pPr>
        <w:pStyle w:val="Heading1"/>
        <w:keepNext/>
      </w:pPr>
      <w:r>
        <w:t>4. Requisitos y reglas del negocio</w:t>
      </w:r>
    </w:p>
    <w:p>
      <w:pPr>
        <w:widowControl/>
        <w:spacing w:before="0" w:after="120" w:line="264" w:lineRule="auto"/>
      </w:pPr>
      <w:r>
        <w:t>La matriz de requisitos versión 0.3 es la fuente de detalle. Contiene 19 requisitos funcionales, 10 requisitos no funcionales y 22 reglas de negocio, todos con criterio de aceptación, prioridad, impacto arquitectónico y estado. En este documento se mantiene un resumen para facilitar la lectura del caso.</w:t>
      </w:r>
    </w:p>
    <w:p>
      <w:pPr>
        <w:pStyle w:val="Heading2"/>
        <w:keepNext/>
      </w:pPr>
      <w:r>
        <w:t>4.1 Resumen de requisitos funcionales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655"/>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Rango</w:t>
            </w:r>
          </w:p>
        </w:tc>
        <w:tc>
          <w:tcPr>
            <w:tcW w:type="dxa" w:w="2520"/>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Ámbito</w:t>
            </w:r>
          </w:p>
        </w:tc>
        <w:tc>
          <w:tcPr>
            <w:tcW w:type="dxa" w:w="5184"/>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Capacidades cubiertas</w:t>
            </w:r>
          </w:p>
        </w:tc>
      </w:tr>
      <w:tr>
        <w:trPr>
          <w:cantSplit/>
        </w:trPr>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RF-01 a RF-03</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Autenticación y Usuarios</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Registro de estudiantes, autenticación con JWT y alta de profesionales por el administrador.</w:t>
            </w:r>
          </w:p>
        </w:tc>
      </w:tr>
      <w:tr>
        <w:trPr>
          <w:cantSplit/>
        </w:trPr>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RF-04 a RF-06</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Diario Emocional</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Registro diario, comentario opcional, historial personal y promedio informativo de siete días.</w:t>
            </w:r>
          </w:p>
        </w:tc>
      </w:tr>
      <w:tr>
        <w:trPr>
          <w:cantSplit/>
        </w:trPr>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RF-07 a RF-13</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Profesionales y Disponibilidad</w:t>
            </w:r>
          </w:p>
        </w:tc>
        <w:tc>
          <w:tcPr>
            <w:tcW w:type="dxa" w:w="312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Perfil profesional, consulta pública y administración de horarios propios.</w:t>
            </w:r>
          </w:p>
        </w:tc>
      </w:tr>
      <w:tr>
        <w:trPr>
          <w:cantSplit/>
        </w:trPr>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RF-14 a RF-19</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Solicitudes de Cita</w:t>
            </w:r>
          </w:p>
        </w:tc>
        <w:tc>
          <w:tcPr>
            <w:tcW w:type="dxa" w:w="312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Solicitud, asignación asíncrona, consulta, atención completada y notificación.</w:t>
            </w:r>
          </w:p>
        </w:tc>
      </w:tr>
    </w:tbl>
    <w:p>
      <w:pPr>
        <w:spacing w:after="0"/>
      </w:pPr>
    </w:p>
    <w:p>
      <w:pPr>
        <w:pStyle w:val="Heading2"/>
        <w:keepNext/>
      </w:pPr>
      <w:r>
        <w:t>4.2 Requisitos no funcionales prioritarios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232"/>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Dimensión</w:t>
            </w:r>
          </w:p>
        </w:tc>
        <w:tc>
          <w:tcPr>
            <w:tcW w:type="dxa" w:w="7128"/>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Condición acordada</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Seguridad y privacidad</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JWT, RBAC, BCrypt, TLS, cifrado en reposo y exclusión de comentarios emocionales en logs y mensajes.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Rendimiento</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El 95 % de las operaciones síncronas debe responder en hasta 2 segundos con 50 solicitudes concurrentes.</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Procesamiento asíncrono</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El 95 % de las solicitudes debe alcanzar un estado final en hasta 30 segundos bajo condiciones normales.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Disponibilidad</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Objetivo mensual de 99,5 % y aislamiento de fallos entre servicios.</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Escalabilidad</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Diario Emocional y Solicitudes de Cita deben poder escalar sin obligar a escalar los demás servicios.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Mantenibilidad</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Build y despliegue independientes, responsabilidad única y bases de datos sin tablas compartidas.</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Observabilidad</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Logs estructurados, correlationId, métricas y alarmas sobre API, servicios, SQS, Lambda y DLQ.</w:t>
            </w:r>
          </w:p>
        </w:tc>
      </w:tr>
    </w:tbl>
    <w:p>
      <w:pPr>
        <w:spacing w:after="0"/>
      </w:pPr>
    </w:p>
    <w:p>
      <w:r>
        <w:br w:type="page"/>
      </w:r>
    </w:p>
    <w:p>
      <w:pPr>
        <w:pStyle w:val="Heading1"/>
        <w:keepNext/>
      </w:pPr>
      <w:r>
        <w:t>4.3 Reglas de negocio esenciales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088"/>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Tema</w:t>
            </w:r>
          </w:p>
        </w:tc>
        <w:tc>
          <w:tcPr>
            <w:tcW w:type="dxa" w:w="7272"/>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Regla vigente</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Cuentas</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Cada correo pertenece a una sola cuenta. El registro público crea estudiantes; solo el administrador crea profesionales.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Diario</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Cada estudiante puede registrar como máximo una entrada por día. El comentario es opcional y admite hasta 500 caracteres.</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Promedio semanal</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Utiliza los registros existentes de los últimos siete días, informa cuántos fueron considerados y no constituye diagnóstico.</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Disponibilidad</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Los horarios deben ser futuros, pertenecer al profesional y no superponerse. Un horario reservado no se modifica ni elimina.</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Cita activa</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Cada estudiante puede mantener solo una solicitud PENDIENTE o CONFIRMADA a la vez.</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Estados</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Una solicitud comienza PENDIENTE y termina CONFIRMADA o RECHAZADA. Solo una cita CONFIRMADA pasa a COMPLETADA.</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Reserva</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La asignación debe ser atómica e idempotente para impedir reservas duplicadas.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Notificación</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Una falla al enviar el correo se registra, pero no cambia el resultado de la cita.</w:t>
            </w:r>
          </w:p>
        </w:tc>
      </w:tr>
    </w:tbl>
    <w:p>
      <w:pPr>
        <w:spacing w:after="0"/>
      </w:pPr>
    </w:p>
    <w:p>
      <w:pPr>
        <w:pStyle w:val="Heading1"/>
        <w:keepNext/>
      </w:pPr>
      <w:r>
        <w:t>5. División en microservicios</w:t>
      </w:r>
    </w:p>
    <w:p>
      <w:pPr>
        <w:widowControl/>
        <w:spacing w:before="0" w:after="120" w:line="264" w:lineRule="auto"/>
      </w:pPr>
      <w:r>
        <w:t>MindSet se divide en cuatro microservicios definidos por capacidades de negocio. Cada servicio administra exclusivamente sus datos y se comunica con los demás mediante contratos; ninguno consulta directamente las tablas de otro.</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936"/>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6"/>
              </w:rPr>
              <w:t>ID</w:t>
            </w:r>
          </w:p>
        </w:tc>
        <w:tc>
          <w:tcPr>
            <w:tcW w:type="dxa" w:w="2592"/>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6"/>
              </w:rPr>
              <w:t>Microservicio</w:t>
            </w:r>
          </w:p>
        </w:tc>
        <w:tc>
          <w:tcPr>
            <w:tcW w:type="dxa" w:w="3671"/>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6"/>
              </w:rPr>
              <w:t>Responsabilidad única</w:t>
            </w:r>
          </w:p>
        </w:tc>
        <w:tc>
          <w:tcPr>
            <w:tcW w:type="dxa" w:w="2160"/>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6"/>
              </w:rPr>
              <w:t>Datos propios</w:t>
            </w:r>
          </w:p>
        </w:tc>
      </w:tr>
      <w:tr>
        <w:trPr>
          <w:cantSplit/>
        </w:trPr>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MS-01</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Autenticación y Usuarios</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Identidad, credenciales y roles.</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Usuarios y credenciales.</w:t>
            </w:r>
          </w:p>
        </w:tc>
      </w:tr>
      <w:tr>
        <w:trPr>
          <w:cantSplit/>
        </w:trPr>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MS-02</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Diario Emocional</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Registro y consulta emocional personal.</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Entradas e historial.</w:t>
            </w:r>
          </w:p>
        </w:tc>
      </w:tr>
      <w:tr>
        <w:trPr>
          <w:cantSplit/>
        </w:trPr>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MS-03</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Profesionales y Disponibilidad</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Perfiles, horarios y reservas.</w:t>
            </w:r>
          </w:p>
        </w:tc>
        <w:tc>
          <w:tcPr>
            <w:tcW w:type="dxa" w:w="234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Profesionales y agenda.</w:t>
            </w:r>
          </w:p>
        </w:tc>
      </w:tr>
      <w:tr>
        <w:trPr>
          <w:cantSplit/>
        </w:trPr>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MS-04</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Solicitudes de Cita</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Ciclo de vida de solicitudes y citas.</w:t>
            </w:r>
          </w:p>
        </w:tc>
        <w:tc>
          <w:tcPr>
            <w:tcW w:type="dxa" w:w="234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Solicitudes y estados.</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360"/>
            <w:shd w:fill="EAF5F1"/>
            <w:tcMar>
              <w:top w:w="120" w:type="dxa"/>
              <w:start w:w="160" w:type="dxa"/>
              <w:bottom w:w="120" w:type="dxa"/>
              <w:end w:w="160" w:type="dxa"/>
            </w:tcMar>
            <w:tcBorders>
              <w:top w:val="single" w:sz="0" w:color="EAF5F1"/>
              <w:left w:val="single" w:sz="18" w:color="1B8A70"/>
              <w:bottom w:val="single" w:sz="0" w:color="EAF5F1"/>
              <w:right w:val="single" w:sz="0" w:color="EAF5F1"/>
              <w:insideH w:val="single" w:sz="0" w:color="EAF5F1"/>
              <w:insideV w:val="single" w:sz="0" w:color="EAF5F1"/>
            </w:tcBorders>
          </w:tcPr>
          <w:p>
            <w:pPr>
              <w:widowControl/>
              <w:spacing w:before="0" w:after="0" w:line="259" w:lineRule="auto"/>
            </w:pPr>
            <w:r>
              <w:rPr>
                <w:b/>
                <w:color w:val="1B8A70"/>
              </w:rPr>
              <w:t xml:space="preserve">Aplicación del SRP. </w:t>
            </w:r>
            <w:r>
              <w:t>Cada servicio tiene una razón principal para cambiar: identidad, diario, disponibilidad o solicitudes. Esta separación favorece la alta cohesión y reduce el acoplamiento.</w:t>
            </w:r>
          </w:p>
        </w:tc>
      </w:tr>
    </w:tbl>
    <w:p>
      <w:pPr>
        <w:spacing w:after="0"/>
      </w:pPr>
    </w:p>
    <w:p>
      <w:r>
        <w:br w:type="page"/>
      </w:r>
    </w:p>
    <w:p>
      <w:pPr>
        <w:pStyle w:val="Heading1"/>
        <w:keepNext/>
      </w:pPr>
      <w:r>
        <w:t>6. Alcance de los microservicios</w:t>
      </w:r>
    </w:p>
    <w:p>
      <w:pPr>
        <w:keepNext/>
        <w:widowControl/>
        <w:spacing w:before="160" w:after="80" w:line="240" w:lineRule="auto"/>
      </w:pPr>
      <w:r>
        <w:rPr>
          <w:b/>
          <w:color w:val="1F4D78"/>
          <w:sz w:val="26"/>
        </w:rPr>
        <w:t>MS-01  Autenticación y Usuarios</w:t>
      </w:r>
    </w:p>
    <w:p>
      <w:pPr>
        <w:widowControl/>
        <w:spacing w:before="0" w:after="80" w:line="264" w:lineRule="auto"/>
      </w:pPr>
      <w:r>
        <w:rPr>
          <w:b/>
        </w:rPr>
        <w:t xml:space="preserve">Propósito. </w:t>
      </w:r>
      <w:r>
        <w:t>Gestionar la identidad de los usuarios y entregar la información necesaria para autorizar las operaciones del sistema.</w:t>
      </w:r>
    </w:p>
    <w:p>
      <w:pPr>
        <w:keepNext/>
        <w:widowControl/>
        <w:spacing w:before="40" w:after="60" w:line="240" w:lineRule="auto"/>
      </w:pPr>
      <w:r>
        <w:rPr>
          <w:b/>
          <w:color w:val="1B8A70"/>
          <w:sz w:val="18"/>
        </w:rPr>
        <w:t>RESPONSABILIDADES</w:t>
      </w:r>
    </w:p>
    <w:p>
      <w:pPr>
        <w:pStyle w:val="ListBullet"/>
        <w:widowControl/>
        <w:spacing w:before="0" w:after="80" w:line="259" w:lineRule="auto"/>
      </w:pPr>
      <w:r>
        <w:t>Registrar estudiantes con correo único y contraseña protegida.</w:t>
      </w:r>
    </w:p>
    <w:p>
      <w:pPr>
        <w:pStyle w:val="ListBullet"/>
        <w:widowControl/>
        <w:spacing w:before="0" w:after="80" w:line="259" w:lineRule="auto"/>
      </w:pPr>
      <w:r>
        <w:t>Autenticar credenciales y emitir un JWT con identidad y rol.</w:t>
      </w:r>
    </w:p>
    <w:p>
      <w:pPr>
        <w:pStyle w:val="ListBullet"/>
        <w:widowControl/>
        <w:spacing w:before="0" w:after="80" w:line="259" w:lineRule="auto"/>
      </w:pPr>
      <w:r>
        <w:t>Permitir que un administrador autorizado cree cuentas profesionales.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8"/>
              </w:rPr>
              <w:t>Aspecto</w:t>
            </w:r>
          </w:p>
        </w:tc>
        <w:tc>
          <w:tcPr>
            <w:tcW w:type="dxa" w:w="7416"/>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8"/>
              </w:rPr>
              <w:t>Definición</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Datos propios</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Usuarios, roles y contraseñas protegidas con BCrypt.</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Interacciones</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Recibe solicitudes a través de API Gateway; los demás servicios validan la identidad y los permisos indicados por el token.</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Límite</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No almacena diarios emocionales, perfiles profesionales, horarios ni citas.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Trazabilidad</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RF-01 a RF-03; RN-01 y RN-02.</w:t>
            </w:r>
          </w:p>
        </w:tc>
      </w:tr>
    </w:tbl>
    <w:p>
      <w:pPr>
        <w:spacing w:after="0"/>
      </w:pPr>
    </w:p>
    <w:p>
      <w:pPr>
        <w:keepNext/>
        <w:widowControl/>
        <w:spacing w:before="160" w:after="80" w:line="240" w:lineRule="auto"/>
      </w:pPr>
      <w:r>
        <w:rPr>
          <w:b/>
          <w:color w:val="1F4D78"/>
          <w:sz w:val="26"/>
        </w:rPr>
        <w:t>MS-02  Diario Emocional</w:t>
      </w:r>
    </w:p>
    <w:p>
      <w:pPr>
        <w:widowControl/>
        <w:spacing w:before="0" w:after="80" w:line="264" w:lineRule="auto"/>
      </w:pPr>
      <w:r>
        <w:rPr>
          <w:b/>
        </w:rPr>
        <w:t xml:space="preserve">Propósito. </w:t>
      </w:r>
      <w:r>
        <w:t>Mantener un registro personal y voluntario del estado emocional declarado por cada estudiante.</w:t>
      </w:r>
    </w:p>
    <w:p>
      <w:pPr>
        <w:keepNext/>
        <w:widowControl/>
        <w:spacing w:before="40" w:after="60" w:line="240" w:lineRule="auto"/>
      </w:pPr>
      <w:r>
        <w:rPr>
          <w:b/>
          <w:color w:val="1B8A70"/>
          <w:sz w:val="18"/>
        </w:rPr>
        <w:t>RESPONSABILIDADES</w:t>
      </w:r>
    </w:p>
    <w:p>
      <w:pPr>
        <w:pStyle w:val="ListBullet"/>
        <w:widowControl/>
        <w:spacing w:before="0" w:after="80" w:line="259" w:lineRule="auto"/>
      </w:pPr>
      <w:r>
        <w:t>Registrar una opción emocional del 1 al 5 una vez por día.</w:t>
      </w:r>
    </w:p>
    <w:p>
      <w:pPr>
        <w:pStyle w:val="ListBullet"/>
        <w:widowControl/>
        <w:spacing w:before="0" w:after="80" w:line="259" w:lineRule="auto"/>
      </w:pPr>
      <w:r>
        <w:t>Guardar un comentario opcional de hasta 500 caracteres.</w:t>
      </w:r>
    </w:p>
    <w:p>
      <w:pPr>
        <w:pStyle w:val="ListBullet"/>
        <w:widowControl/>
        <w:spacing w:before="0" w:after="80" w:line="259" w:lineRule="auto"/>
      </w:pPr>
      <w:r>
        <w:t>Consultar el historial propio y calcular un promedio informativo de siete días.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8"/>
              </w:rPr>
              <w:t>Aspecto</w:t>
            </w:r>
          </w:p>
        </w:tc>
        <w:tc>
          <w:tcPr>
            <w:tcW w:type="dxa" w:w="7416"/>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8"/>
              </w:rPr>
              <w:t>Definición</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Datos propios</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Fecha, valor emocional, comentario y referencia del estudiante.</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Interacciones</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Recibe al usuario autenticado mediante el Gateway; no publica comentarios en SQS ni los escribe en logs.</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Límite</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No diagnostica, no detecta crisis, no recomienda tratamientos y no consulta datos de citas.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Trazabilidad</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RF-04 a RF-06; RN-05 a RN-09.</w:t>
            </w:r>
          </w:p>
        </w:tc>
      </w:tr>
    </w:tbl>
    <w:p>
      <w:pPr>
        <w:spacing w:after="0"/>
      </w:pPr>
    </w:p>
    <w:p>
      <w:r>
        <w:br w:type="page"/>
      </w:r>
    </w:p>
    <w:p>
      <w:pPr>
        <w:pStyle w:val="Heading1"/>
        <w:keepNext/>
      </w:pPr>
      <w:r>
        <w:t>6. Alcance de los microservicios (continuación)</w:t>
      </w:r>
    </w:p>
    <w:p>
      <w:pPr>
        <w:keepNext/>
        <w:widowControl/>
        <w:spacing w:before="160" w:after="80" w:line="240" w:lineRule="auto"/>
      </w:pPr>
      <w:r>
        <w:rPr>
          <w:b/>
          <w:color w:val="1F4D78"/>
          <w:sz w:val="26"/>
        </w:rPr>
        <w:t>MS-03  Profesionales y Disponibilidad</w:t>
      </w:r>
    </w:p>
    <w:p>
      <w:pPr>
        <w:widowControl/>
        <w:spacing w:before="0" w:after="80" w:line="264" w:lineRule="auto"/>
      </w:pPr>
      <w:r>
        <w:rPr>
          <w:b/>
        </w:rPr>
        <w:t xml:space="preserve">Propósito. </w:t>
      </w:r>
      <w:r>
        <w:t>Administrar la información profesional visible y la disponibilidad que puede utilizar el proceso de asignación.</w:t>
      </w:r>
    </w:p>
    <w:p>
      <w:pPr>
        <w:keepNext/>
        <w:widowControl/>
        <w:spacing w:before="40" w:after="60" w:line="240" w:lineRule="auto"/>
      </w:pPr>
      <w:r>
        <w:rPr>
          <w:b/>
          <w:color w:val="1B8A70"/>
          <w:sz w:val="18"/>
        </w:rPr>
        <w:t>RESPONSABILIDADES</w:t>
      </w:r>
    </w:p>
    <w:p>
      <w:pPr>
        <w:pStyle w:val="ListBullet"/>
        <w:widowControl/>
        <w:spacing w:before="0" w:after="80" w:line="259" w:lineRule="auto"/>
      </w:pPr>
      <w:r>
        <w:t>Permitir que el profesional complete y actualice su perfil.</w:t>
      </w:r>
    </w:p>
    <w:p>
      <w:pPr>
        <w:pStyle w:val="ListBullet"/>
        <w:widowControl/>
        <w:spacing w:before="0" w:after="80" w:line="259" w:lineRule="auto"/>
      </w:pPr>
      <w:r>
        <w:t>Publicar únicamente perfiles completos y activos para consulta del estudiante.</w:t>
      </w:r>
    </w:p>
    <w:p>
      <w:pPr>
        <w:pStyle w:val="ListBullet"/>
        <w:widowControl/>
        <w:spacing w:before="0" w:after="80" w:line="259" w:lineRule="auto"/>
      </w:pPr>
      <w:r>
        <w:t>Crear, consultar, modificar y eliminar horarios propios que no estén reservados.</w:t>
      </w:r>
    </w:p>
    <w:p>
      <w:pPr>
        <w:pStyle w:val="ListBullet"/>
        <w:widowControl/>
        <w:spacing w:before="0" w:after="80" w:line="259" w:lineRule="auto"/>
      </w:pPr>
      <w:r>
        <w:t>Reservar un horario mediante una operación atómica e idempotente.</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8"/>
              </w:rPr>
              <w:t>Aspecto</w:t>
            </w:r>
          </w:p>
        </w:tc>
        <w:tc>
          <w:tcPr>
            <w:tcW w:type="dxa" w:w="7416"/>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8"/>
              </w:rPr>
              <w:t>Definición</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Datos propios</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Perfiles, especialidades, horarios, estados de disponibilidad y reservas.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Interacciones</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Expone operaciones REST al Gateway y una operación interna de reserva para el procesador Lambda.</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Límite</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No crea solicitudes ni decide su estado final. Tampoco gestiona credenciales de acceso.</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Trazabilidad</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RF-07 a RF-13 y parte de RF-15; RN-03, RN-04 y RN-10 a RN-12.</w:t>
            </w:r>
          </w:p>
        </w:tc>
      </w:tr>
    </w:tbl>
    <w:p>
      <w:pPr>
        <w:spacing w:after="0"/>
      </w:pPr>
    </w:p>
    <w:p>
      <w:pPr>
        <w:keepNext/>
        <w:widowControl/>
        <w:spacing w:before="160" w:after="80" w:line="240" w:lineRule="auto"/>
      </w:pPr>
      <w:r>
        <w:rPr>
          <w:b/>
          <w:color w:val="1F4D78"/>
          <w:sz w:val="26"/>
        </w:rPr>
        <w:t>MS-04  Solicitudes de Cita</w:t>
      </w:r>
    </w:p>
    <w:p>
      <w:pPr>
        <w:widowControl/>
        <w:spacing w:before="0" w:after="80" w:line="264" w:lineRule="auto"/>
      </w:pPr>
      <w:r>
        <w:rPr>
          <w:b/>
        </w:rPr>
        <w:t xml:space="preserve">Propósito. </w:t>
      </w:r>
      <w:r>
        <w:t>Mantener el ciclo de vida de cada solicitud, desde su recepción hasta su resolución y posterior atención.</w:t>
      </w:r>
    </w:p>
    <w:p>
      <w:pPr>
        <w:keepNext/>
        <w:widowControl/>
        <w:spacing w:before="40" w:after="60" w:line="240" w:lineRule="auto"/>
      </w:pPr>
      <w:r>
        <w:rPr>
          <w:b/>
          <w:color w:val="1B8A70"/>
          <w:sz w:val="18"/>
        </w:rPr>
        <w:t>RESPONSABILIDADES</w:t>
      </w:r>
    </w:p>
    <w:p>
      <w:pPr>
        <w:pStyle w:val="ListBullet"/>
        <w:widowControl/>
        <w:spacing w:before="0" w:after="80" w:line="259" w:lineRule="auto"/>
      </w:pPr>
      <w:r>
        <w:t>Crear una solicitud PENDIENTE cuando el estudiante no tiene otra cita activa.</w:t>
      </w:r>
    </w:p>
    <w:p>
      <w:pPr>
        <w:pStyle w:val="ListBullet"/>
        <w:widowControl/>
        <w:spacing w:before="0" w:after="80" w:line="259" w:lineRule="auto"/>
      </w:pPr>
      <w:r>
        <w:t>Publicar el evento que inicia la asignación asíncrona.</w:t>
      </w:r>
    </w:p>
    <w:p>
      <w:pPr>
        <w:pStyle w:val="ListBullet"/>
        <w:widowControl/>
        <w:spacing w:before="0" w:after="80" w:line="259" w:lineRule="auto"/>
      </w:pPr>
      <w:r>
        <w:t>Registrar la solicitud como CONFIRMADA o RECHAZADA.</w:t>
      </w:r>
    </w:p>
    <w:p>
      <w:pPr>
        <w:pStyle w:val="ListBullet"/>
        <w:widowControl/>
        <w:spacing w:before="0" w:after="80" w:line="259" w:lineRule="auto"/>
      </w:pPr>
      <w:r>
        <w:t>Permitir la consulta personal y el cambio de CONFIRMADA a COMPLETADA por el profesional asignado.</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8"/>
              </w:rPr>
              <w:t>Aspecto</w:t>
            </w:r>
          </w:p>
        </w:tc>
        <w:tc>
          <w:tcPr>
            <w:tcW w:type="dxa" w:w="7416"/>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8"/>
              </w:rPr>
              <w:t>Definición</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Datos propios</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Solicitudes, citas, asignaciones y trazabilidad de estados.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Interacciones</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Publica en Amazon SQS; es actualizado por el procesador de asignación y expone consultas al estudiante y al profesional.</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Límite</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No administra horarios ni accede a la base de datos de profesionales. Las cancelaciones quedan fuera de esta versión.</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8"/>
              </w:rPr>
              <w:t>Trazabilidad</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8"/>
              </w:rPr>
              <w:t>RF-14 a RF-19; RN-13 a RN-22.</w:t>
            </w:r>
          </w:p>
        </w:tc>
      </w:tr>
    </w:tbl>
    <w:p>
      <w:pPr>
        <w:spacing w:after="0"/>
      </w:pPr>
    </w:p>
    <w:p>
      <w:r>
        <w:br w:type="page"/>
      </w:r>
    </w:p>
    <w:p>
      <w:pPr>
        <w:pStyle w:val="Heading1"/>
        <w:keepNext/>
      </w:pPr>
      <w:r>
        <w:t>7. Arquitectura propuesta</w:t>
      </w:r>
    </w:p>
    <w:p>
      <w:pPr>
        <w:pStyle w:val="Heading2"/>
        <w:keepNext/>
      </w:pPr>
      <w:r>
        <w:t>7.1 Decisiones principales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088"/>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6"/>
              </w:rPr>
              <w:t>Elemento</w:t>
            </w:r>
          </w:p>
        </w:tc>
        <w:tc>
          <w:tcPr>
            <w:tcW w:type="dxa" w:w="7272"/>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6"/>
              </w:rPr>
              <w:t>Decisión y justificación</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Entrada</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Amazon API Gateway entrega un punto único de acceso, aplica controles iniciales y evita exponer directamente los microservicios.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Ejecución</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Los cuatro servicios Java Spring Boot se despliegan como contenedores en Amazon ECS con AWS Fargate y pueden escalar de manera independiente.</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Persistencia</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Cada microservicio es propietario de una base PostgreSQL en Amazon RDS y utiliza credenciales separadas.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Comunicación síncrona</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REST sobre HTTPS se utiliza en operaciones que requieren respuesta inmediata y en la reserva interna del horario.</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Comunicación asíncrona</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Amazon SQS desacopla la recepción de la solicitud de su asignación. AWS Lambda procesa los mensajes.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Descubrimiento</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AWS Cloud Map mantiene el registro y descubrimiento de los servicios dentro de la plataforma.</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Resiliencia</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Circuit Breaker, reintentos, idempotencia y DLQ controlan fallas sin producir reservas duplicadas.</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6"/>
              </w:rPr>
              <w:t>Servicios de apoyo</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6"/>
              </w:rPr>
              <w:t>Amazon SES envía correos; Secrets Manager guarda secretos; CloudWatch concentra logs, métricas y alertas.</w:t>
            </w:r>
          </w:p>
        </w:tc>
      </w:tr>
    </w:tbl>
    <w:p>
      <w:pPr>
        <w:spacing w:after="0"/>
      </w:pPr>
    </w:p>
    <w:p>
      <w:pPr>
        <w:pStyle w:val="Heading2"/>
        <w:keepNext/>
      </w:pPr>
      <w:r>
        <w:t>7.2 Tecnologías deliberadamente excluidas</w:t>
      </w:r>
    </w:p>
    <w:p>
      <w:pPr>
        <w:widowControl/>
        <w:spacing w:before="0" w:after="120" w:line="264" w:lineRule="auto"/>
      </w:pPr>
      <w:r>
        <w:t>No se agregarán Kubernetes, Kafka, Redis, service mesh ni más funciones Lambda en esta etapa. La arquitectura ya cubre los patrones solicitados y sumar componentes sin un problema concreto aumentaría el trabajo de implementación y la dificultad de explicación.</w:t>
      </w:r>
    </w:p>
    <w:p>
      <w:pPr>
        <w:pStyle w:val="Heading2"/>
        <w:keepNext/>
      </w:pPr>
      <w:r>
        <w:t>7.3 Referencia al diagrama</w:t>
      </w:r>
    </w:p>
    <w:p>
      <w:pPr>
        <w:widowControl/>
        <w:spacing w:before="0" w:after="120" w:line="264" w:lineRule="auto"/>
      </w:pPr>
      <w:r>
        <w:t>El diagrama editable y su exportación se mantienen en la carpeta de anexos. Ambos deben representar la misma versión: actores, API Gateway, cuatro microservicios, bases independientes, seguridad, Service Registry, monitoreo y el flujo asíncrono de cita.</w:t>
      </w:r>
    </w:p>
    <w:tbl>
      <w:tblPr>
        <w:tblW w:type="auto" w:w="0"/>
        <w:jc w:val="center"/>
        <w:tblLayout w:type="fixed"/>
        <w:tblLook w:firstColumn="1" w:firstRow="1" w:lastColumn="0" w:lastRow="0" w:noHBand="0" w:noVBand="1" w:val="04A0"/>
      </w:tblPr>
      <w:tblGrid>
        <w:gridCol w:w="9360"/>
      </w:tblGrid>
      <w:tr>
        <w:tc>
          <w:tcPr>
            <w:tcW w:type="dxa" w:w="9360"/>
            <w:shd w:fill="EAF2F8"/>
            <w:tcMar>
              <w:top w:w="120" w:type="dxa"/>
              <w:start w:w="160" w:type="dxa"/>
              <w:bottom w:w="120" w:type="dxa"/>
              <w:end w:w="160" w:type="dxa"/>
            </w:tcMar>
            <w:tcBorders>
              <w:top w:val="single" w:sz="0" w:color="EAF2F8"/>
              <w:left w:val="single" w:sz="18" w:color="2E74B5"/>
              <w:bottom w:val="single" w:sz="0" w:color="EAF2F8"/>
              <w:right w:val="single" w:sz="0" w:color="EAF2F8"/>
              <w:insideH w:val="single" w:sz="0" w:color="EAF2F8"/>
              <w:insideV w:val="single" w:sz="0" w:color="EAF2F8"/>
            </w:tcBorders>
          </w:tcPr>
          <w:p>
            <w:pPr>
              <w:widowControl/>
              <w:spacing w:before="0" w:after="0" w:line="259" w:lineRule="auto"/>
            </w:pPr>
            <w:r>
              <w:rPr>
                <w:b/>
                <w:color w:val="2E74B5"/>
              </w:rPr>
              <w:t xml:space="preserve">Archivos oficiales. </w:t>
            </w:r>
            <w:r>
              <w:t>MindSet/anexos/arquitectura-mindset.drawio y MindSet/anexos/arquitectura-mindset.png.</w:t>
            </w:r>
          </w:p>
        </w:tc>
      </w:tr>
    </w:tbl>
    <w:p>
      <w:pPr>
        <w:spacing w:after="0"/>
      </w:pPr>
    </w:p>
    <w:p>
      <w:r>
        <w:br w:type="page"/>
      </w:r>
    </w:p>
    <w:p>
      <w:pPr>
        <w:pStyle w:val="Heading1"/>
        <w:keepNext/>
      </w:pPr>
      <w:r>
        <w:t>8. Flujo asíncrono de asignación de cita</w:t>
      </w:r>
    </w:p>
    <w:p>
      <w:pPr>
        <w:pStyle w:val="ListNumber"/>
        <w:widowControl/>
        <w:spacing w:before="0" w:after="80" w:line="259" w:lineRule="auto"/>
      </w:pPr>
      <w:r>
        <w:t>El estudiante envía POST /solicitudes-cita a través de API Gateway.</w:t>
      </w:r>
    </w:p>
    <w:p>
      <w:pPr>
        <w:pStyle w:val="ListNumber"/>
        <w:widowControl/>
        <w:spacing w:before="0" w:after="80" w:line="259" w:lineRule="auto"/>
      </w:pPr>
      <w:r>
        <w:t>MS-04 valida que no exista otra cita activa, guarda la solicitud como PENDIENTE y confirma su recepción.</w:t>
      </w:r>
    </w:p>
    <w:p>
      <w:pPr>
        <w:pStyle w:val="ListNumber"/>
        <w:widowControl/>
        <w:spacing w:before="0" w:after="80" w:line="259" w:lineRule="auto"/>
      </w:pPr>
      <w:r>
        <w:t>MS-04 publica el evento SolicitudCitaCreada en Amazon SQS.</w:t>
      </w:r>
    </w:p>
    <w:p>
      <w:pPr>
        <w:pStyle w:val="ListNumber"/>
        <w:widowControl/>
        <w:spacing w:before="0" w:after="80" w:line="259" w:lineRule="auto"/>
      </w:pPr>
      <w:r>
        <w:t>AWS Lambda consume el mensaje y solicita a MS-03 la reserva de un horario compatible.</w:t>
      </w:r>
    </w:p>
    <w:p>
      <w:pPr>
        <w:pStyle w:val="ListNumber"/>
        <w:widowControl/>
        <w:spacing w:before="0" w:after="80" w:line="259" w:lineRule="auto"/>
      </w:pPr>
      <w:r>
        <w:t>MS-03 ejecuta la reserva de manera transaccional e idempotente para evitar que dos solicitudes tomen el mismo horario.</w:t>
      </w:r>
    </w:p>
    <w:p>
      <w:pPr>
        <w:pStyle w:val="ListNumber"/>
        <w:widowControl/>
        <w:spacing w:before="0" w:after="80" w:line="259" w:lineRule="auto"/>
      </w:pPr>
      <w:r>
        <w:t>Lambda actualiza MS-04: CONFIRMADA cuando obtiene una reserva o RECHAZADA si no existe disponibilidad compatible.</w:t>
      </w:r>
    </w:p>
    <w:p>
      <w:pPr>
        <w:pStyle w:val="ListNumber"/>
        <w:widowControl/>
        <w:spacing w:before="0" w:after="80" w:line="259" w:lineRule="auto"/>
      </w:pPr>
      <w:r>
        <w:t>Amazon SES intenta enviar la notificación. Si el correo falla, la cita conserva su estado y el error queda registrado.</w:t>
      </w:r>
    </w:p>
    <w:p>
      <w:pPr>
        <w:pStyle w:val="Heading2"/>
        <w:keepNext/>
      </w:pPr>
      <w:r>
        <w:t>8.1 Comportamiento ante fallos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520"/>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Situación</w:t>
            </w:r>
          </w:p>
        </w:tc>
        <w:tc>
          <w:tcPr>
            <w:tcW w:type="dxa" w:w="6840"/>
            <w:shd w:fill="16365C"/>
            <w:tcBorders>
              <w:top w:val="single" w:sz="4" w:color="AEB9C5"/>
              <w:left w:val="single" w:sz="4" w:color="AEB9C5"/>
              <w:bottom w:val="single" w:sz="4" w:color="AEB9C5"/>
              <w:right w:val="single" w:sz="4" w:color="AEB9C5"/>
              <w:insideH w:val="single" w:sz="4" w:color="AEB9C5"/>
              <w:insideV w:val="single" w:sz="4" w:color="AEB9C5"/>
            </w:tcBorders>
            <w:tcMar>
              <w:top w:w="80" w:type="dxa"/>
              <w:start w:w="120" w:type="dxa"/>
              <w:bottom w:w="80" w:type="dxa"/>
              <w:end w:w="120" w:type="dxa"/>
            </w:tcMar>
            <w:vAlign w:val="center"/>
          </w:tcPr>
          <w:p>
            <w:pPr>
              <w:widowControl/>
              <w:spacing w:before="0" w:after="0" w:line="240" w:lineRule="auto"/>
              <w:jc w:val="center"/>
            </w:pPr>
            <w:r>
              <w:rPr>
                <w:b/>
                <w:color w:val="FFFFFF"/>
                <w:sz w:val="17"/>
              </w:rPr>
              <w:t>Respuesta definida</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MS-03 no responde</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Circuit Breaker evita llamadas repetidas; el mensaje puede reintentarse sin perder la solicitud.</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Mensaje repetido</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La clave de idempotencia impide crear una segunda reserva para la misma solicitud.</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Tres intentos fallidos</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SQS mueve el mensaje a la Dead Letter Queue y CloudWatch genera una alerta para revisión.</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No hay horario compatible</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La solicitud finaliza RECHAZADA y se notifica el resultado.</w:t>
            </w:r>
          </w:p>
        </w:tc>
      </w:tr>
      <w:tr>
        <w:trPr>
          <w:cantSplit/>
        </w:trPr>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Falla Amazon SES</w:t>
            </w:r>
          </w:p>
        </w:tc>
        <w:tc>
          <w:tcPr>
            <w:tcW w:type="dxa" w:w="4680"/>
            <w:shd w:fill="FFFFFF"/>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Se registra el error; el estado CONFIRMADA o RECHAZADA no se modifica.</w:t>
            </w:r>
          </w:p>
        </w:tc>
      </w:tr>
      <w:tr>
        <w:trPr>
          <w:cantSplit/>
        </w:trPr>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b/>
                <w:color w:val="1F4D78"/>
                <w:sz w:val="17"/>
              </w:rPr>
              <w:t>Reserva concurrente</w:t>
            </w:r>
          </w:p>
        </w:tc>
        <w:tc>
          <w:tcPr>
            <w:tcW w:type="dxa" w:w="4680"/>
            <w:shd w:fill="F2F4F7"/>
            <w:tcBorders>
              <w:top w:val="single" w:sz="4" w:color="C8D1DC"/>
              <w:left w:val="single" w:sz="4" w:color="C8D1DC"/>
              <w:bottom w:val="single" w:sz="4" w:color="C8D1DC"/>
              <w:right w:val="single" w:sz="4" w:color="C8D1DC"/>
              <w:insideH w:val="single" w:sz="4" w:color="C8D1DC"/>
              <w:insideV w:val="single" w:sz="4" w:color="C8D1DC"/>
            </w:tcBorders>
            <w:tcMar>
              <w:top w:w="80" w:type="dxa"/>
              <w:start w:w="120" w:type="dxa"/>
              <w:bottom w:w="80" w:type="dxa"/>
              <w:end w:w="120" w:type="dxa"/>
            </w:tcMar>
            <w:vAlign w:val="top"/>
          </w:tcPr>
          <w:p>
            <w:pPr>
              <w:widowControl/>
              <w:spacing w:before="0" w:after="0" w:line="245" w:lineRule="auto"/>
            </w:pPr>
            <w:r>
              <w:rPr>
                <w:sz w:val="17"/>
              </w:rPr>
              <w:t>MS-03 utiliza transacción y restricción única para que solo una solicitud obtenga el horario.</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360"/>
            <w:shd w:fill="FFF4E5"/>
            <w:tcMar>
              <w:top w:w="120" w:type="dxa"/>
              <w:start w:w="160" w:type="dxa"/>
              <w:bottom w:w="120" w:type="dxa"/>
              <w:end w:w="160" w:type="dxa"/>
            </w:tcMar>
            <w:tcBorders>
              <w:top w:val="single" w:sz="0" w:color="FFF4E5"/>
              <w:left w:val="single" w:sz="18" w:color="B56A00"/>
              <w:bottom w:val="single" w:sz="0" w:color="FFF4E5"/>
              <w:right w:val="single" w:sz="0" w:color="FFF4E5"/>
              <w:insideH w:val="single" w:sz="0" w:color="FFF4E5"/>
              <w:insideV w:val="single" w:sz="0" w:color="FFF4E5"/>
            </w:tcBorders>
          </w:tcPr>
          <w:p>
            <w:pPr>
              <w:widowControl/>
              <w:spacing w:before="0" w:after="0" w:line="259" w:lineRule="auto"/>
            </w:pPr>
            <w:r>
              <w:rPr>
                <w:b/>
                <w:color w:val="B56A00"/>
              </w:rPr>
              <w:t xml:space="preserve">Punto crítico identificado. </w:t>
            </w:r>
            <w:r>
              <w:t>La reserva concurrente de horarios en MS-03 es el principal cuello de botella. Se controla en el servicio propietario de la agenda, no desde MS-04 ni desde Lambda.</w:t>
            </w:r>
          </w:p>
        </w:tc>
      </w:tr>
    </w:tbl>
    <w:p>
      <w:pPr>
        <w:spacing w:after="0"/>
      </w:pPr>
    </w:p>
    <w:p>
      <w:r>
        <w:br w:type="page"/>
      </w:r>
    </w:p>
    <w:p>
      <w:pPr>
        <w:pStyle w:val="Heading1"/>
        <w:keepNext/>
      </w:pPr>
      <w:r>
        <w:t>9. Seguridad, calidad y operación</w:t>
      </w:r>
    </w:p>
    <w:p>
      <w:pPr>
        <w:pStyle w:val="Heading2"/>
        <w:keepNext/>
      </w:pPr>
      <w:r>
        <w:t>9.1 Seguridad y privacidad</w:t>
      </w:r>
    </w:p>
    <w:p>
      <w:pPr>
        <w:pStyle w:val="ListBullet"/>
        <w:widowControl/>
        <w:spacing w:before="0" w:after="80" w:line="259" w:lineRule="auto"/>
      </w:pPr>
      <w:r>
        <w:t>JWT para autenticación y RBAC para autorización por rol y propiedad del recurso.</w:t>
      </w:r>
    </w:p>
    <w:p>
      <w:pPr>
        <w:pStyle w:val="ListBullet"/>
        <w:widowControl/>
        <w:spacing w:before="0" w:after="80" w:line="259" w:lineRule="auto"/>
      </w:pPr>
      <w:r>
        <w:t>Contraseñas protegidas con BCrypt; HTTPS/TLS para datos en tránsito y cifrado RDS para datos en reposo.</w:t>
      </w:r>
    </w:p>
    <w:p>
      <w:pPr>
        <w:pStyle w:val="ListBullet"/>
        <w:widowControl/>
        <w:spacing w:before="0" w:after="80" w:line="259" w:lineRule="auto"/>
      </w:pPr>
      <w:r>
        <w:t>Secretos y credenciales administrados mediante AWS Secrets Manager e IAM con mínimo privilegio.</w:t>
      </w:r>
    </w:p>
    <w:p>
      <w:pPr>
        <w:pStyle w:val="ListBullet"/>
        <w:widowControl/>
        <w:spacing w:before="0" w:after="80" w:line="259" w:lineRule="auto"/>
      </w:pPr>
      <w:r>
        <w:t>Los comentarios del diario no deben copiarse a logs, eventos SQS ni mensajes de notificación.</w:t>
      </w:r>
    </w:p>
    <w:p>
      <w:pPr>
        <w:pStyle w:val="Heading2"/>
        <w:keepNext/>
      </w:pPr>
      <w:r>
        <w:t>9.2 Escalabilidad, disponibilidad y mantenibilidad</w:t>
      </w:r>
    </w:p>
    <w:p>
      <w:pPr>
        <w:pStyle w:val="ListBullet"/>
        <w:widowControl/>
        <w:spacing w:before="0" w:after="80" w:line="259" w:lineRule="auto"/>
      </w:pPr>
      <w:r>
        <w:t>ECS/Fargate permite aumentar instancias del servicio que recibe mayor carga sin desplegar nuevamente los demás.</w:t>
      </w:r>
    </w:p>
    <w:p>
      <w:pPr>
        <w:pStyle w:val="ListBullet"/>
        <w:widowControl/>
        <w:spacing w:before="0" w:after="80" w:line="259" w:lineRule="auto"/>
      </w:pPr>
      <w:r>
        <w:t>SQS absorbe variaciones de demanda y mantiene las solicitudes mientras Lambda o una dependencia se recuperan.</w:t>
      </w:r>
    </w:p>
    <w:p>
      <w:pPr>
        <w:pStyle w:val="ListBullet"/>
        <w:widowControl/>
        <w:spacing w:before="0" w:after="80" w:line="259" w:lineRule="auto"/>
      </w:pPr>
      <w:r>
        <w:t>El Circuit Breaker evita que una falla de disponibilidad provoque fallos en cascada.</w:t>
      </w:r>
    </w:p>
    <w:p>
      <w:pPr>
        <w:pStyle w:val="ListBullet"/>
        <w:widowControl/>
        <w:spacing w:before="0" w:after="80" w:line="259" w:lineRule="auto"/>
      </w:pPr>
      <w:r>
        <w:t>La propiedad exclusiva de los datos y los contratos REST reducen el acoplamiento entre equipos y servicios.</w:t>
      </w:r>
    </w:p>
    <w:p>
      <w:pPr>
        <w:pStyle w:val="ListBullet"/>
        <w:widowControl/>
        <w:spacing w:before="0" w:after="80" w:line="259" w:lineRule="auto"/>
      </w:pPr>
      <w:r>
        <w:t>Cada microservicio tendrá build Maven, imagen Docker y pruebas independientes durante la fase de implementación.</w:t>
      </w:r>
    </w:p>
    <w:p>
      <w:pPr>
        <w:pStyle w:val="Heading2"/>
        <w:keepNext/>
      </w:pPr>
      <w:r>
        <w:t>9.3 Monitoreo</w:t>
      </w:r>
    </w:p>
    <w:p>
      <w:pPr>
        <w:widowControl/>
        <w:spacing w:before="0" w:after="120" w:line="264" w:lineRule="auto"/>
      </w:pPr>
      <w:r>
        <w:t>Amazon CloudWatch concentrará logs estructurados, métricas y alarmas. Cada solicitud utilizará un correlationId para seguir su recorrido desde API Gateway hasta los microservicios, SQS, Lambda y DLQ. Las métricas prioritarias serán latencia, tasa de errores, profundidad de la cola, mensajes antiguos, ejecuciones fallidas y mensajes enviados a DLQ.</w:t>
      </w:r>
    </w:p>
    <w:p>
      <w:pPr>
        <w:pStyle w:val="Heading1"/>
        <w:keepNext/>
      </w:pPr>
      <w:r>
        <w:t>10. Criterio de actualización</w:t>
      </w:r>
    </w:p>
    <w:p>
      <w:pPr>
        <w:widowControl/>
        <w:spacing w:before="0" w:after="120" w:line="264" w:lineRule="auto"/>
      </w:pPr>
      <w:r>
        <w:t>Toda modificación futura seguirá el mismo orden: primero se registra la decisión en este documento, luego se actualizan los requisitos o reglas afectados, después se ajusta el diagrama y finalmente se implementa el cambio. Esto mantiene coherencia entre lo que se presenta, lo que se diseña y lo que se construye.</w:t>
      </w:r>
    </w:p>
    <w:tbl>
      <w:tblPr>
        <w:tblW w:type="auto" w:w="0"/>
        <w:jc w:val="center"/>
        <w:tblLayout w:type="fixed"/>
        <w:tblLook w:firstColumn="1" w:firstRow="1" w:lastColumn="0" w:lastRow="0" w:noHBand="0" w:noVBand="1" w:val="04A0"/>
      </w:tblPr>
      <w:tblGrid>
        <w:gridCol w:w="9360"/>
      </w:tblGrid>
      <w:tr>
        <w:tc>
          <w:tcPr>
            <w:tcW w:type="dxa" w:w="9360"/>
            <w:shd w:fill="EAF5F1"/>
            <w:tcMar>
              <w:top w:w="120" w:type="dxa"/>
              <w:start w:w="160" w:type="dxa"/>
              <w:bottom w:w="120" w:type="dxa"/>
              <w:end w:w="160" w:type="dxa"/>
            </w:tcMar>
            <w:tcBorders>
              <w:top w:val="single" w:sz="0" w:color="EAF5F1"/>
              <w:left w:val="single" w:sz="18" w:color="1B8A70"/>
              <w:bottom w:val="single" w:sz="0" w:color="EAF5F1"/>
              <w:right w:val="single" w:sz="0" w:color="EAF5F1"/>
              <w:insideH w:val="single" w:sz="0" w:color="EAF5F1"/>
              <w:insideV w:val="single" w:sz="0" w:color="EAF5F1"/>
            </w:tcBorders>
          </w:tcPr>
          <w:p>
            <w:pPr>
              <w:widowControl/>
              <w:spacing w:before="0" w:after="0" w:line="259" w:lineRule="auto"/>
            </w:pPr>
            <w:r>
              <w:rPr>
                <w:b/>
                <w:color w:val="1B8A70"/>
              </w:rPr>
              <w:t xml:space="preserve">Siguiente etapa. </w:t>
            </w:r>
            <w:r>
              <w:t>Para la Evaluación Parcial N.º 1 restan la validación final del diagrama, el guion del video de 3 a 8 minutos y la comprobación del repositorio antes de entregar.</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rPr>
        <w:color w:val="5F6B7A"/>
        <w:sz w:val="18"/>
      </w:rPr>
      <w:t xml:space="preserve">Alexis Carrasco Salgado   ·   JVY0101   ·   Página </w:t>
    </w:r>
    <w:r>
      <w:rPr>
        <w:color w:val="5F6B7A"/>
        <w:sz w:val="18"/>
      </w:rPr>
      <w:fldChar w:fldCharType="begin"/>
      <w:instrText xml:space="preserve"> PAGE </w:instrText>
      <w:fldChar w:fldCharType="end"/>
    </w:r>
    <w:r>
      <w:rPr>
        <w:color w:val="5F6B7A"/>
        <w:sz w:val="18"/>
      </w:rPr>
      <w:t xml:space="preserve"> de </w:t>
    </w:r>
    <w:r>
      <w:rPr>
        <w:color w:val="5F6B7A"/>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left"/>
    </w:pPr>
    <w:r>
      <w:rPr>
        <w:b/>
        <w:color w:val="5F6B7A"/>
        <w:sz w:val="18"/>
      </w:rPr>
      <w:t>MINDSET  |  DOCUMENTO PRINCIPAL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720" w:hanging="360"/>
      <w:contextualSpacing/>
    </w:pPr>
    <w:rPr>
      <w:rFonts w:ascii="Calibri" w:hAnsi="Calibri"/>
      <w:sz w:val="22"/>
    </w:rPr>
  </w:style>
  <w:style w:type="paragraph" w:styleId="ListBullet2">
    <w:name w:val="List Bullet 2"/>
    <w:basedOn w:val="Normal"/>
    <w:uiPriority w:val="99"/>
    <w:unhideWhenUsed/>
    <w:rsid w:val="00326F90"/>
    <w:pPr>
      <w:widowControl/>
      <w:numPr>
        <w:numId w:val="2"/>
      </w:numPr>
      <w:spacing w:after="80" w:line="259"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spacing w:after="160" w:line="240" w:lineRule="auto"/>
    </w:pPr>
    <w:rPr>
      <w:rFonts w:ascii="Calibri" w:hAnsi="Calibri"/>
      <w:b/>
      <w:color w:val="16365C"/>
      <w:sz w:val="60"/>
    </w:rPr>
  </w:style>
  <w:style w:type="paragraph" w:customStyle="1" w:styleId="CoverSubtitle">
    <w:name w:val="Cover Subtitle"/>
    <w:pPr>
      <w:spacing w:after="400" w:line="252" w:lineRule="auto"/>
    </w:pPr>
    <w:rPr>
      <w:rFonts w:ascii="Calibri" w:hAnsi="Calibri"/>
      <w:color w:val="2E74B5"/>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MindSet — Documento principal del proyecto</dc:title>
  <dc:subject>Proyecto semestral JVY0101</dc:subject>
  <dc:creator>Alexis Carrasco Salgado</dc:creator>
  <cp:keywords>MindSet, microservicios, cloud-native, Java, Spring Boot, AWS</cp:keywords>
  <dc:description>Versión 0.4 consolidada para la Evaluación Parcial N.º 1.</dc:description>
  <cp:lastModifiedBy/>
  <cp:revision>1</cp:revision>
  <dcterms:created xsi:type="dcterms:W3CDTF">2013-12-23T23:15:00Z</dcterms:created>
  <dcterms:modified xsi:type="dcterms:W3CDTF">2013-12-23T23:15:00Z</dcterms:modified>
  <cp:category/>
</cp:coreProperties>
</file>