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FA0E" w14:textId="46006A38" w:rsidR="00AA6242" w:rsidRDefault="001D4424">
      <w:pPr>
        <w:rPr>
          <w:b/>
          <w:bCs/>
          <w:color w:val="000000" w:themeColor="text1"/>
          <w:sz w:val="28"/>
          <w:szCs w:val="28"/>
          <w:lang w:val="en-US"/>
        </w:rPr>
      </w:pPr>
      <w:r w:rsidRPr="001D4424">
        <w:rPr>
          <w:b/>
          <w:bCs/>
          <w:color w:val="000000" w:themeColor="text1"/>
          <w:sz w:val="28"/>
          <w:szCs w:val="28"/>
          <w:lang w:val="en-US"/>
        </w:rPr>
        <w:t>Rural Canada Business Profile from 2017 to 2019</w:t>
      </w:r>
    </w:p>
    <w:p w14:paraId="18F7C1FC" w14:textId="73D999A4" w:rsidR="001D4424" w:rsidRDefault="001D4424">
      <w:pPr>
        <w:rPr>
          <w:b/>
          <w:bCs/>
          <w:color w:val="000000" w:themeColor="text1"/>
          <w:sz w:val="28"/>
          <w:szCs w:val="28"/>
          <w:lang w:val="en-US"/>
        </w:rPr>
      </w:pPr>
    </w:p>
    <w:p w14:paraId="5BC13599" w14:textId="7972DB0D" w:rsidR="001D4424" w:rsidRDefault="001D4424">
      <w:pPr>
        <w:rPr>
          <w:sz w:val="14"/>
          <w:szCs w:val="14"/>
        </w:rPr>
      </w:pPr>
      <w:r>
        <w:rPr>
          <w:sz w:val="22"/>
          <w:szCs w:val="22"/>
        </w:rPr>
        <w:t>The Rural Canada Business Profiles database (RCBP) provides data on counts and key financial indicators of small and medium sized businesses with a theme classification by rural</w:t>
      </w:r>
      <w:r>
        <w:rPr>
          <w:sz w:val="14"/>
          <w:szCs w:val="14"/>
        </w:rPr>
        <w:t xml:space="preserve"> </w:t>
      </w:r>
      <w:r>
        <w:rPr>
          <w:sz w:val="22"/>
          <w:szCs w:val="22"/>
        </w:rPr>
        <w:t>and urban areas of Canada. The RCBP has a similar methodology to the Financial Performance Data (FPD). In contrast to the FPD, the RCBP notably features a rural and urban breakdown.</w:t>
      </w:r>
    </w:p>
    <w:p w14:paraId="464A78A2" w14:textId="61A4F2BB" w:rsidR="001D4424" w:rsidRDefault="00866706">
      <w:pPr>
        <w:rPr>
          <w:sz w:val="14"/>
          <w:szCs w:val="14"/>
        </w:rPr>
      </w:pPr>
      <w:r>
        <w:rPr>
          <w:sz w:val="14"/>
          <w:szCs w:val="14"/>
        </w:rPr>
        <w:t>Key terms Definition:</w:t>
      </w:r>
    </w:p>
    <w:p w14:paraId="699637A4" w14:textId="627EFDC1" w:rsidR="002E1E1E" w:rsidRPr="008E3C31" w:rsidRDefault="002E1E1E" w:rsidP="008E3C31">
      <w:pPr>
        <w:pStyle w:val="ListParagraph"/>
        <w:numPr>
          <w:ilvl w:val="0"/>
          <w:numId w:val="1"/>
        </w:numPr>
        <w:rPr>
          <w:sz w:val="14"/>
          <w:szCs w:val="14"/>
        </w:rPr>
      </w:pPr>
      <w:r w:rsidRPr="008E3C31">
        <w:rPr>
          <w:sz w:val="14"/>
          <w:szCs w:val="14"/>
        </w:rPr>
        <w:t>Financial ratios(%):</w:t>
      </w:r>
    </w:p>
    <w:p w14:paraId="58DE9247" w14:textId="6D9E824F" w:rsidR="008E3C31" w:rsidRPr="008E3C31" w:rsidRDefault="002E1E1E" w:rsidP="008E3C31">
      <w:pPr>
        <w:pStyle w:val="Default"/>
        <w:ind w:firstLine="720"/>
        <w:rPr>
          <w:sz w:val="22"/>
          <w:szCs w:val="22"/>
        </w:rPr>
      </w:pPr>
      <w:r w:rsidRPr="002E1E1E">
        <w:rPr>
          <w:rFonts w:asciiTheme="minorHAnsi" w:hAnsiTheme="minorHAnsi" w:cstheme="minorBidi"/>
          <w:color w:val="auto"/>
          <w:sz w:val="14"/>
          <w:szCs w:val="14"/>
          <w:lang w:val="en-CA"/>
        </w:rPr>
        <w:t xml:space="preserve">Net profit to equity: This ratio is calculated as (net profit * 100) / (equity). This percentage indicates the profitability of a business. </w:t>
      </w:r>
      <w:r w:rsidR="008E3C31" w:rsidRPr="008E3C31">
        <w:rPr>
          <w:rFonts w:asciiTheme="minorHAnsi" w:hAnsiTheme="minorHAnsi" w:cstheme="minorBidi"/>
          <w:color w:val="auto"/>
          <w:sz w:val="14"/>
          <w:szCs w:val="14"/>
          <w:lang w:val="en-CA"/>
        </w:rPr>
        <w:t xml:space="preserve">The higher the ratio, the relatively better the profitability. </w:t>
      </w:r>
    </w:p>
    <w:p w14:paraId="3C116530" w14:textId="3F75839D" w:rsidR="002E1E1E" w:rsidRDefault="002E1E1E" w:rsidP="002E1E1E">
      <w:pPr>
        <w:pStyle w:val="Default"/>
        <w:rPr>
          <w:rFonts w:asciiTheme="minorHAnsi" w:hAnsiTheme="minorHAnsi" w:cstheme="minorBidi"/>
          <w:color w:val="auto"/>
          <w:sz w:val="14"/>
          <w:szCs w:val="14"/>
          <w:lang w:val="en-CA"/>
        </w:rPr>
      </w:pPr>
    </w:p>
    <w:p w14:paraId="7FFE6AF4" w14:textId="40CB37A1" w:rsidR="008E3C31" w:rsidRPr="008E3C31" w:rsidRDefault="002E1E1E" w:rsidP="008E3C31">
      <w:pPr>
        <w:pStyle w:val="Default"/>
        <w:ind w:firstLine="720"/>
        <w:rPr>
          <w:rFonts w:ascii="Times New Roman" w:hAnsi="Times New Roman" w:cs="Times New Roman"/>
        </w:rPr>
      </w:pPr>
      <w:r w:rsidRPr="008E3C31">
        <w:rPr>
          <w:rFonts w:asciiTheme="minorHAnsi" w:hAnsiTheme="minorHAnsi" w:cstheme="minorBidi"/>
          <w:color w:val="auto"/>
          <w:sz w:val="14"/>
          <w:szCs w:val="14"/>
          <w:lang w:val="en-CA"/>
        </w:rPr>
        <w:t>Current debt to equity:</w:t>
      </w:r>
      <w:r w:rsidR="008E3C31" w:rsidRPr="008E3C31">
        <w:rPr>
          <w:rFonts w:asciiTheme="minorHAnsi" w:hAnsiTheme="minorHAnsi" w:cstheme="minorBidi"/>
          <w:color w:val="auto"/>
          <w:sz w:val="14"/>
          <w:szCs w:val="14"/>
          <w:lang w:val="en-CA"/>
        </w:rPr>
        <w:t xml:space="preserve"> This ratio is calculated as (current liabilities * 100) / (equity). This percentage is a measure of liquidity, which indicates a firm’s relative ability to pay its short-term debts. The lower the positive ratio, the more liquid the business.</w:t>
      </w:r>
      <w:r w:rsidR="008E3C31" w:rsidRPr="008E3C31">
        <w:rPr>
          <w:rFonts w:ascii="Times New Roman" w:hAnsi="Times New Roman" w:cs="Times New Roman"/>
        </w:rPr>
        <w:t xml:space="preserve"> </w:t>
      </w:r>
    </w:p>
    <w:p w14:paraId="2D714BF2" w14:textId="6F8290C6" w:rsidR="008E3C31" w:rsidRPr="008E3C31" w:rsidRDefault="008E3C31" w:rsidP="008E3C31">
      <w:pPr>
        <w:pStyle w:val="Default"/>
        <w:rPr>
          <w:rFonts w:asciiTheme="minorHAnsi" w:hAnsiTheme="minorHAnsi" w:cstheme="minorBidi"/>
          <w:color w:val="auto"/>
          <w:sz w:val="14"/>
          <w:szCs w:val="14"/>
        </w:rPr>
      </w:pPr>
    </w:p>
    <w:p w14:paraId="6CB7C9CB" w14:textId="496D38FE" w:rsidR="008E3C31" w:rsidRPr="008E3C31" w:rsidRDefault="008E3C31" w:rsidP="008E3C31">
      <w:pPr>
        <w:pStyle w:val="ListParagraph"/>
        <w:numPr>
          <w:ilvl w:val="0"/>
          <w:numId w:val="1"/>
        </w:numPr>
        <w:rPr>
          <w:sz w:val="14"/>
          <w:szCs w:val="14"/>
        </w:rPr>
      </w:pPr>
      <w:r w:rsidRPr="008E3C31">
        <w:rPr>
          <w:sz w:val="14"/>
          <w:szCs w:val="14"/>
        </w:rPr>
        <w:t>Financial ratios(times):</w:t>
      </w:r>
    </w:p>
    <w:p w14:paraId="190929D4" w14:textId="74FA0CB4" w:rsidR="008E3C31" w:rsidRDefault="008E3C31" w:rsidP="008E3C31">
      <w:pPr>
        <w:pStyle w:val="Default"/>
        <w:ind w:firstLine="720"/>
        <w:rPr>
          <w:rFonts w:asciiTheme="minorHAnsi" w:hAnsiTheme="minorHAnsi" w:cstheme="minorBidi"/>
          <w:color w:val="auto"/>
          <w:sz w:val="14"/>
          <w:szCs w:val="14"/>
          <w:lang w:val="en-CA"/>
        </w:rPr>
      </w:pPr>
      <w:r w:rsidRPr="008E3C31">
        <w:rPr>
          <w:rFonts w:asciiTheme="minorHAnsi" w:hAnsiTheme="minorHAnsi" w:cstheme="minorBidi"/>
          <w:color w:val="auto"/>
          <w:sz w:val="14"/>
          <w:szCs w:val="14"/>
          <w:lang w:val="en-CA"/>
        </w:rPr>
        <w:t xml:space="preserve">Debt to equity ratio: This ratio is calculated as (total liabilities) / (total equity). This is a solvency ratio that indicates a firm’s ability to pay its long-term debts. The lower the positive ratio, the more solvent the business. </w:t>
      </w:r>
    </w:p>
    <w:p w14:paraId="2E8EE588" w14:textId="335B8937" w:rsidR="008E3C31" w:rsidRDefault="008E3C31" w:rsidP="00DF7145">
      <w:pPr>
        <w:pStyle w:val="Default"/>
        <w:ind w:left="720"/>
        <w:rPr>
          <w:rFonts w:asciiTheme="minorHAnsi" w:hAnsiTheme="minorHAnsi" w:cstheme="minorBidi"/>
          <w:color w:val="auto"/>
          <w:sz w:val="14"/>
          <w:szCs w:val="14"/>
          <w:lang w:val="en-CA"/>
        </w:rPr>
      </w:pPr>
      <w:r w:rsidRPr="008E3C31">
        <w:rPr>
          <w:rFonts w:asciiTheme="minorHAnsi" w:hAnsiTheme="minorHAnsi" w:cstheme="minorBidi"/>
          <w:color w:val="auto"/>
          <w:sz w:val="14"/>
          <w:szCs w:val="14"/>
          <w:lang w:val="en-CA"/>
        </w:rPr>
        <w:t xml:space="preserve">Revenue to equity ratio: This ratio is calculated as (total revenue) / (equity). It provides an indication of the economic productivity of capital. </w:t>
      </w:r>
    </w:p>
    <w:p w14:paraId="59ABD3D4" w14:textId="2FEA457B" w:rsidR="00DF7145" w:rsidRDefault="00DF7145" w:rsidP="00DF7145">
      <w:pPr>
        <w:pStyle w:val="Default"/>
        <w:ind w:left="720"/>
        <w:rPr>
          <w:rFonts w:asciiTheme="minorHAnsi" w:hAnsiTheme="minorHAnsi" w:cstheme="minorBidi"/>
          <w:color w:val="auto"/>
          <w:sz w:val="14"/>
          <w:szCs w:val="14"/>
          <w:lang w:val="en-CA"/>
        </w:rPr>
      </w:pPr>
    </w:p>
    <w:p w14:paraId="497854E0" w14:textId="1B53F334" w:rsidR="00DF7145" w:rsidRDefault="00DF7145" w:rsidP="00DF7145">
      <w:pPr>
        <w:pStyle w:val="Default"/>
        <w:numPr>
          <w:ilvl w:val="0"/>
          <w:numId w:val="1"/>
        </w:numPr>
        <w:rPr>
          <w:rFonts w:asciiTheme="minorHAnsi" w:hAnsiTheme="minorHAnsi" w:cstheme="minorBidi"/>
          <w:color w:val="auto"/>
          <w:sz w:val="14"/>
          <w:szCs w:val="14"/>
          <w:lang w:val="en-CA"/>
        </w:rPr>
      </w:pPr>
      <w:r>
        <w:rPr>
          <w:rFonts w:asciiTheme="minorHAnsi" w:hAnsiTheme="minorHAnsi" w:cstheme="minorBidi"/>
          <w:color w:val="auto"/>
          <w:sz w:val="14"/>
          <w:szCs w:val="14"/>
          <w:lang w:val="en-CA"/>
        </w:rPr>
        <w:t>Total Number of Business: The count of businesses in each category</w:t>
      </w:r>
    </w:p>
    <w:p w14:paraId="7EA5E0A3" w14:textId="37DFA045" w:rsidR="00DF7145" w:rsidRDefault="00DF7145" w:rsidP="00DF7145">
      <w:pPr>
        <w:pStyle w:val="Default"/>
        <w:numPr>
          <w:ilvl w:val="0"/>
          <w:numId w:val="1"/>
        </w:numPr>
        <w:rPr>
          <w:rFonts w:asciiTheme="minorHAnsi" w:hAnsiTheme="minorHAnsi" w:cstheme="minorBidi"/>
          <w:color w:val="auto"/>
          <w:sz w:val="14"/>
          <w:szCs w:val="14"/>
          <w:lang w:val="en-CA"/>
        </w:rPr>
      </w:pPr>
      <w:r>
        <w:rPr>
          <w:rFonts w:asciiTheme="minorHAnsi" w:hAnsiTheme="minorHAnsi" w:cstheme="minorBidi"/>
          <w:color w:val="auto"/>
          <w:sz w:val="14"/>
          <w:szCs w:val="14"/>
          <w:lang w:val="en-CA"/>
        </w:rPr>
        <w:t>Total Revenue: It calculate as number of businesses * average revenue</w:t>
      </w:r>
    </w:p>
    <w:p w14:paraId="19143F26" w14:textId="4F79BDAA" w:rsidR="00DF7145" w:rsidRDefault="00DF7145" w:rsidP="00DF7145">
      <w:pPr>
        <w:pStyle w:val="Default"/>
        <w:numPr>
          <w:ilvl w:val="0"/>
          <w:numId w:val="1"/>
        </w:numPr>
        <w:rPr>
          <w:rFonts w:asciiTheme="minorHAnsi" w:hAnsiTheme="minorHAnsi" w:cstheme="minorBidi"/>
          <w:color w:val="auto"/>
          <w:sz w:val="14"/>
          <w:szCs w:val="14"/>
          <w:lang w:val="en-CA"/>
        </w:rPr>
      </w:pPr>
      <w:r>
        <w:rPr>
          <w:rFonts w:asciiTheme="minorHAnsi" w:hAnsiTheme="minorHAnsi" w:cstheme="minorBidi"/>
          <w:color w:val="auto"/>
          <w:sz w:val="14"/>
          <w:szCs w:val="14"/>
          <w:lang w:val="en-CA"/>
        </w:rPr>
        <w:t>Expense Breakdown: Total expense in different categories</w:t>
      </w:r>
    </w:p>
    <w:p w14:paraId="0C6E030B" w14:textId="28382126" w:rsidR="00DF7145" w:rsidRDefault="00DF7145" w:rsidP="00DF7145">
      <w:pPr>
        <w:pStyle w:val="Default"/>
        <w:numPr>
          <w:ilvl w:val="0"/>
          <w:numId w:val="1"/>
        </w:numPr>
        <w:rPr>
          <w:rFonts w:asciiTheme="minorHAnsi" w:hAnsiTheme="minorHAnsi" w:cstheme="minorBidi"/>
          <w:color w:val="auto"/>
          <w:sz w:val="14"/>
          <w:szCs w:val="14"/>
          <w:lang w:val="en-CA"/>
        </w:rPr>
      </w:pPr>
      <w:r>
        <w:rPr>
          <w:rFonts w:asciiTheme="minorHAnsi" w:hAnsiTheme="minorHAnsi" w:cstheme="minorBidi"/>
          <w:color w:val="auto"/>
          <w:sz w:val="14"/>
          <w:szCs w:val="14"/>
          <w:lang w:val="en-CA"/>
        </w:rPr>
        <w:t>Direct Expense: Cost of sales</w:t>
      </w:r>
    </w:p>
    <w:p w14:paraId="5A818362" w14:textId="2F6B1F93" w:rsidR="00DF7145" w:rsidRDefault="00DF7145" w:rsidP="00DF7145">
      <w:pPr>
        <w:pStyle w:val="Default"/>
        <w:numPr>
          <w:ilvl w:val="0"/>
          <w:numId w:val="1"/>
        </w:numPr>
        <w:rPr>
          <w:rFonts w:asciiTheme="minorHAnsi" w:hAnsiTheme="minorHAnsi" w:cstheme="minorBidi"/>
          <w:color w:val="auto"/>
          <w:sz w:val="14"/>
          <w:szCs w:val="14"/>
          <w:lang w:val="en-CA"/>
        </w:rPr>
      </w:pPr>
      <w:r>
        <w:rPr>
          <w:rFonts w:asciiTheme="minorHAnsi" w:hAnsiTheme="minorHAnsi" w:cstheme="minorBidi"/>
          <w:color w:val="auto"/>
          <w:sz w:val="14"/>
          <w:szCs w:val="14"/>
          <w:lang w:val="en-CA"/>
        </w:rPr>
        <w:t>Indirect Expense: Operating expense</w:t>
      </w:r>
    </w:p>
    <w:p w14:paraId="7BFF4543" w14:textId="198CE26A" w:rsidR="00DF7145" w:rsidRDefault="00DF7145" w:rsidP="00DF7145">
      <w:pPr>
        <w:pStyle w:val="Default"/>
        <w:numPr>
          <w:ilvl w:val="0"/>
          <w:numId w:val="1"/>
        </w:numPr>
        <w:rPr>
          <w:rFonts w:asciiTheme="minorHAnsi" w:hAnsiTheme="minorHAnsi" w:cstheme="minorBidi"/>
          <w:color w:val="auto"/>
          <w:sz w:val="14"/>
          <w:szCs w:val="14"/>
          <w:lang w:val="en-CA"/>
        </w:rPr>
      </w:pPr>
      <w:r>
        <w:rPr>
          <w:rFonts w:asciiTheme="minorHAnsi" w:hAnsiTheme="minorHAnsi" w:cstheme="minorBidi"/>
          <w:color w:val="auto"/>
          <w:sz w:val="14"/>
          <w:szCs w:val="14"/>
          <w:lang w:val="en-CA"/>
        </w:rPr>
        <w:t>Net profit: It calculated as total revenue – total expense</w:t>
      </w:r>
    </w:p>
    <w:p w14:paraId="51657BAA" w14:textId="3D460C43" w:rsidR="00866706" w:rsidRDefault="00866706" w:rsidP="00DF7145">
      <w:pPr>
        <w:pStyle w:val="Default"/>
        <w:ind w:left="720"/>
        <w:rPr>
          <w:rFonts w:asciiTheme="minorHAnsi" w:hAnsiTheme="minorHAnsi" w:cstheme="minorBidi"/>
          <w:color w:val="auto"/>
          <w:sz w:val="14"/>
          <w:szCs w:val="14"/>
          <w:lang w:val="en-CA"/>
        </w:rPr>
      </w:pPr>
    </w:p>
    <w:p w14:paraId="2059E7E7" w14:textId="77777777" w:rsidR="00866706" w:rsidRDefault="00866706" w:rsidP="00866706">
      <w:pPr>
        <w:rPr>
          <w:sz w:val="14"/>
          <w:szCs w:val="14"/>
        </w:rPr>
      </w:pPr>
      <w:r>
        <w:rPr>
          <w:sz w:val="14"/>
          <w:szCs w:val="14"/>
        </w:rPr>
        <w:t>Small Sized Businesses</w:t>
      </w:r>
    </w:p>
    <w:p w14:paraId="34223ABF" w14:textId="199A6F95" w:rsidR="00866706" w:rsidRDefault="00866706" w:rsidP="00866706">
      <w:pPr>
        <w:rPr>
          <w:sz w:val="14"/>
          <w:szCs w:val="14"/>
        </w:rPr>
      </w:pPr>
      <w:r>
        <w:rPr>
          <w:sz w:val="14"/>
          <w:szCs w:val="14"/>
        </w:rPr>
        <w:t>The dashboard shows the general information of the small sized business in Canada from 2017 to 2019.</w:t>
      </w:r>
    </w:p>
    <w:p w14:paraId="54B76D1C" w14:textId="5E6CE3EF" w:rsidR="00866706" w:rsidRDefault="00866706" w:rsidP="00866706">
      <w:pPr>
        <w:rPr>
          <w:sz w:val="14"/>
          <w:szCs w:val="14"/>
        </w:rPr>
      </w:pPr>
      <w:r>
        <w:rPr>
          <w:sz w:val="14"/>
          <w:szCs w:val="14"/>
        </w:rPr>
        <w:t>T</w:t>
      </w:r>
      <w:r w:rsidRPr="002B0E2D">
        <w:rPr>
          <w:sz w:val="14"/>
          <w:szCs w:val="14"/>
        </w:rPr>
        <w:t>his group includes all businesses operating in Canada reporting total annual revenues between $30,000 and $5,000,000 (inclusive).</w:t>
      </w:r>
    </w:p>
    <w:p w14:paraId="43514892" w14:textId="77777777" w:rsidR="00866706" w:rsidRPr="008E3C31" w:rsidRDefault="00866706" w:rsidP="00DF7145">
      <w:pPr>
        <w:pStyle w:val="Default"/>
        <w:ind w:left="720"/>
        <w:rPr>
          <w:rFonts w:asciiTheme="minorHAnsi" w:hAnsiTheme="minorHAnsi" w:cstheme="minorBidi"/>
          <w:color w:val="auto"/>
          <w:sz w:val="14"/>
          <w:szCs w:val="14"/>
          <w:lang w:val="en-CA"/>
        </w:rPr>
      </w:pPr>
    </w:p>
    <w:p w14:paraId="1A459E52" w14:textId="70CACDDF" w:rsidR="00DF7145" w:rsidRPr="00F65FC9" w:rsidRDefault="00DF7145" w:rsidP="008E3C31">
      <w:pPr>
        <w:autoSpaceDE w:val="0"/>
        <w:autoSpaceDN w:val="0"/>
        <w:adjustRightInd w:val="0"/>
        <w:rPr>
          <w:sz w:val="14"/>
          <w:szCs w:val="14"/>
        </w:rPr>
      </w:pPr>
      <w:r w:rsidRPr="00F65FC9">
        <w:rPr>
          <w:sz w:val="14"/>
          <w:szCs w:val="14"/>
        </w:rPr>
        <w:t>Filters applied:</w:t>
      </w:r>
      <w:r w:rsidR="008E3C31" w:rsidRPr="00F65FC9">
        <w:rPr>
          <w:sz w:val="14"/>
          <w:szCs w:val="14"/>
        </w:rPr>
        <w:t xml:space="preserve">  </w:t>
      </w:r>
    </w:p>
    <w:p w14:paraId="71ED4312" w14:textId="77777777" w:rsidR="00DF7145" w:rsidRPr="00F65FC9" w:rsidRDefault="00DF7145" w:rsidP="008E3C31">
      <w:pPr>
        <w:autoSpaceDE w:val="0"/>
        <w:autoSpaceDN w:val="0"/>
        <w:adjustRightInd w:val="0"/>
        <w:rPr>
          <w:sz w:val="14"/>
          <w:szCs w:val="14"/>
        </w:rPr>
      </w:pPr>
      <w:r w:rsidRPr="00F65FC9">
        <w:rPr>
          <w:sz w:val="14"/>
          <w:szCs w:val="14"/>
        </w:rPr>
        <w:t>Time period: 2017,2018 and 2019</w:t>
      </w:r>
    </w:p>
    <w:p w14:paraId="28514BBF" w14:textId="77777777" w:rsidR="00DF7145" w:rsidRPr="00F65FC9" w:rsidRDefault="00DF7145" w:rsidP="008E3C31">
      <w:pPr>
        <w:autoSpaceDE w:val="0"/>
        <w:autoSpaceDN w:val="0"/>
        <w:adjustRightInd w:val="0"/>
        <w:rPr>
          <w:sz w:val="14"/>
          <w:szCs w:val="14"/>
        </w:rPr>
      </w:pPr>
      <w:r w:rsidRPr="00F65FC9">
        <w:rPr>
          <w:sz w:val="14"/>
          <w:szCs w:val="14"/>
        </w:rPr>
        <w:t>Location Indicator: Rural, Urban</w:t>
      </w:r>
    </w:p>
    <w:p w14:paraId="0076EC9F" w14:textId="77777777" w:rsidR="00CF663B" w:rsidRPr="00F65FC9" w:rsidRDefault="00DF7145" w:rsidP="008E3C31">
      <w:pPr>
        <w:autoSpaceDE w:val="0"/>
        <w:autoSpaceDN w:val="0"/>
        <w:adjustRightInd w:val="0"/>
        <w:rPr>
          <w:sz w:val="14"/>
          <w:szCs w:val="14"/>
        </w:rPr>
      </w:pPr>
      <w:r w:rsidRPr="00F65FC9">
        <w:rPr>
          <w:sz w:val="14"/>
          <w:szCs w:val="14"/>
        </w:rPr>
        <w:t>Industr</w:t>
      </w:r>
      <w:r w:rsidR="00CF663B" w:rsidRPr="00F65FC9">
        <w:rPr>
          <w:sz w:val="14"/>
          <w:szCs w:val="14"/>
        </w:rPr>
        <w:t>y: Businesses are classified by industry using the business’s North American Industry Classification System (NAICS) 2017</w:t>
      </w:r>
      <w:r w:rsidR="00CF663B">
        <w:rPr>
          <w:sz w:val="14"/>
          <w:szCs w:val="14"/>
        </w:rPr>
        <w:t xml:space="preserve">15 </w:t>
      </w:r>
      <w:r w:rsidR="00CF663B" w:rsidRPr="00F65FC9">
        <w:rPr>
          <w:sz w:val="14"/>
          <w:szCs w:val="14"/>
        </w:rPr>
        <w:t xml:space="preserve">industry assignment on the BR. </w:t>
      </w:r>
    </w:p>
    <w:p w14:paraId="5A6AE7D7" w14:textId="074B4BEE" w:rsidR="00CF663B" w:rsidRPr="00F65FC9" w:rsidRDefault="00CF663B" w:rsidP="008E3C31">
      <w:pPr>
        <w:autoSpaceDE w:val="0"/>
        <w:autoSpaceDN w:val="0"/>
        <w:adjustRightInd w:val="0"/>
        <w:rPr>
          <w:sz w:val="14"/>
          <w:szCs w:val="14"/>
        </w:rPr>
      </w:pPr>
      <w:r w:rsidRPr="00F65FC9">
        <w:rPr>
          <w:sz w:val="14"/>
          <w:szCs w:val="14"/>
        </w:rPr>
        <w:t>Geography: Provinces in Canada</w:t>
      </w:r>
    </w:p>
    <w:p w14:paraId="1BD8D9F4" w14:textId="543FDF2D" w:rsidR="00CF663B" w:rsidRPr="00F65FC9" w:rsidRDefault="00CF663B" w:rsidP="008E3C31">
      <w:pPr>
        <w:autoSpaceDE w:val="0"/>
        <w:autoSpaceDN w:val="0"/>
        <w:adjustRightInd w:val="0"/>
        <w:rPr>
          <w:sz w:val="14"/>
          <w:szCs w:val="14"/>
        </w:rPr>
      </w:pPr>
      <w:r w:rsidRPr="00F65FC9">
        <w:rPr>
          <w:sz w:val="14"/>
          <w:szCs w:val="14"/>
        </w:rPr>
        <w:t>Incorporation Status: Incorporated</w:t>
      </w:r>
      <w:r w:rsidR="00F65FC9" w:rsidRPr="00F65FC9">
        <w:rPr>
          <w:sz w:val="14"/>
          <w:szCs w:val="14"/>
        </w:rPr>
        <w:t>, Unincorporated * Not applied to financial ratios where this data is missing</w:t>
      </w:r>
    </w:p>
    <w:p w14:paraId="0E06F2A4" w14:textId="13E574BA" w:rsidR="008E3C31" w:rsidRPr="00F65FC9" w:rsidRDefault="00CF663B" w:rsidP="00CF663B">
      <w:pPr>
        <w:pStyle w:val="ListParagraph"/>
        <w:autoSpaceDE w:val="0"/>
        <w:autoSpaceDN w:val="0"/>
        <w:adjustRightInd w:val="0"/>
        <w:rPr>
          <w:sz w:val="14"/>
          <w:szCs w:val="14"/>
        </w:rPr>
      </w:pPr>
      <w:r w:rsidRPr="00F65FC9">
        <w:rPr>
          <w:sz w:val="14"/>
          <w:szCs w:val="14"/>
        </w:rPr>
        <w:t>*Due to the data suppression, please use “All industries” in industry filter</w:t>
      </w:r>
      <w:r w:rsidR="00F65FC9">
        <w:rPr>
          <w:sz w:val="14"/>
          <w:szCs w:val="14"/>
        </w:rPr>
        <w:t>,</w:t>
      </w:r>
      <w:r w:rsidRPr="00F65FC9">
        <w:rPr>
          <w:sz w:val="14"/>
          <w:szCs w:val="14"/>
        </w:rPr>
        <w:t xml:space="preserve"> “Canada” in geography filter to see the overall information.</w:t>
      </w:r>
      <w:r w:rsidR="008E3C31" w:rsidRPr="00F65FC9">
        <w:rPr>
          <w:sz w:val="14"/>
          <w:szCs w:val="14"/>
        </w:rPr>
        <w:t xml:space="preserve">          </w:t>
      </w:r>
    </w:p>
    <w:p w14:paraId="37C646E8" w14:textId="77777777" w:rsidR="008E3C31" w:rsidRPr="008E3C31" w:rsidRDefault="008E3C31" w:rsidP="008E3C31">
      <w:pPr>
        <w:pStyle w:val="Default"/>
        <w:rPr>
          <w:rFonts w:asciiTheme="minorHAnsi" w:hAnsiTheme="minorHAnsi" w:cstheme="minorBidi"/>
          <w:color w:val="auto"/>
          <w:sz w:val="14"/>
          <w:szCs w:val="14"/>
        </w:rPr>
      </w:pPr>
    </w:p>
    <w:p w14:paraId="140A5A4A" w14:textId="2C58C48B" w:rsidR="00F65FC9" w:rsidRDefault="00F65FC9" w:rsidP="00F65FC9">
      <w:pPr>
        <w:rPr>
          <w:sz w:val="14"/>
          <w:szCs w:val="14"/>
        </w:rPr>
      </w:pPr>
      <w:r>
        <w:rPr>
          <w:sz w:val="14"/>
          <w:szCs w:val="14"/>
        </w:rPr>
        <w:t>Medium Sized Businesses:</w:t>
      </w:r>
    </w:p>
    <w:p w14:paraId="6478CEC7" w14:textId="77777777" w:rsidR="00F65FC9" w:rsidRDefault="00F65FC9" w:rsidP="00F65FC9">
      <w:pPr>
        <w:rPr>
          <w:sz w:val="14"/>
          <w:szCs w:val="14"/>
        </w:rPr>
      </w:pPr>
    </w:p>
    <w:p w14:paraId="7E305537" w14:textId="54D8103F" w:rsidR="008E3C31" w:rsidRDefault="00F65FC9" w:rsidP="008E3C31">
      <w:pPr>
        <w:rPr>
          <w:sz w:val="14"/>
          <w:szCs w:val="14"/>
        </w:rPr>
      </w:pPr>
      <w:r>
        <w:rPr>
          <w:sz w:val="14"/>
          <w:szCs w:val="14"/>
        </w:rPr>
        <w:t>The dashboard shows the general information of the medium sized business in Canada from 2017 to 2019.</w:t>
      </w:r>
      <w:r w:rsidR="00866706" w:rsidRPr="00866706">
        <w:rPr>
          <w:sz w:val="14"/>
          <w:szCs w:val="14"/>
        </w:rPr>
        <w:t>T</w:t>
      </w:r>
      <w:r w:rsidR="00866706" w:rsidRPr="002B0E2D">
        <w:rPr>
          <w:sz w:val="14"/>
          <w:szCs w:val="14"/>
        </w:rPr>
        <w:t>his group includes all businesses operating in Canada reporting total annual revenues between $5,000,001 and $20,000,000 (inclusive). Owing to the lower counts of medium businesses, the RCBP only provides national level tables for such businesses in order to be able to protect confidentiality. Rural and urban breakdowns at the Canada level are provided for medium businesses, but no provincial/territorial breakdowns in order to protect confidentiality of identifiable businesses.</w:t>
      </w:r>
    </w:p>
    <w:p w14:paraId="196EE693" w14:textId="77777777" w:rsidR="00F65FC9" w:rsidRPr="00F65FC9" w:rsidRDefault="00F65FC9" w:rsidP="00F65FC9">
      <w:pPr>
        <w:autoSpaceDE w:val="0"/>
        <w:autoSpaceDN w:val="0"/>
        <w:adjustRightInd w:val="0"/>
        <w:rPr>
          <w:sz w:val="14"/>
          <w:szCs w:val="14"/>
        </w:rPr>
      </w:pPr>
      <w:r w:rsidRPr="00F65FC9">
        <w:rPr>
          <w:sz w:val="14"/>
          <w:szCs w:val="14"/>
        </w:rPr>
        <w:t xml:space="preserve">Filters applied:  </w:t>
      </w:r>
    </w:p>
    <w:p w14:paraId="4E904E33" w14:textId="77777777" w:rsidR="00F65FC9" w:rsidRPr="00F65FC9" w:rsidRDefault="00F65FC9" w:rsidP="00F65FC9">
      <w:pPr>
        <w:autoSpaceDE w:val="0"/>
        <w:autoSpaceDN w:val="0"/>
        <w:adjustRightInd w:val="0"/>
        <w:rPr>
          <w:sz w:val="14"/>
          <w:szCs w:val="14"/>
        </w:rPr>
      </w:pPr>
      <w:r w:rsidRPr="00F65FC9">
        <w:rPr>
          <w:sz w:val="14"/>
          <w:szCs w:val="14"/>
        </w:rPr>
        <w:t>Time period: 2017,2018 and 2019</w:t>
      </w:r>
    </w:p>
    <w:p w14:paraId="1114C83B" w14:textId="77777777" w:rsidR="00F65FC9" w:rsidRPr="00F65FC9" w:rsidRDefault="00F65FC9" w:rsidP="00F65FC9">
      <w:pPr>
        <w:autoSpaceDE w:val="0"/>
        <w:autoSpaceDN w:val="0"/>
        <w:adjustRightInd w:val="0"/>
        <w:rPr>
          <w:sz w:val="14"/>
          <w:szCs w:val="14"/>
        </w:rPr>
      </w:pPr>
      <w:r w:rsidRPr="00F65FC9">
        <w:rPr>
          <w:sz w:val="14"/>
          <w:szCs w:val="14"/>
        </w:rPr>
        <w:t>Location Indicator: Rural, Urban</w:t>
      </w:r>
    </w:p>
    <w:p w14:paraId="655240C5" w14:textId="77777777" w:rsidR="00F65FC9" w:rsidRPr="00F65FC9" w:rsidRDefault="00F65FC9" w:rsidP="00F65FC9">
      <w:pPr>
        <w:autoSpaceDE w:val="0"/>
        <w:autoSpaceDN w:val="0"/>
        <w:adjustRightInd w:val="0"/>
        <w:rPr>
          <w:sz w:val="14"/>
          <w:szCs w:val="14"/>
        </w:rPr>
      </w:pPr>
      <w:r w:rsidRPr="00F65FC9">
        <w:rPr>
          <w:sz w:val="14"/>
          <w:szCs w:val="14"/>
        </w:rPr>
        <w:t>Industry: Businesses are classified by industry using the business’s North American Industry Classification System (NAICS) 2017</w:t>
      </w:r>
      <w:r>
        <w:rPr>
          <w:sz w:val="14"/>
          <w:szCs w:val="14"/>
        </w:rPr>
        <w:t xml:space="preserve">15 </w:t>
      </w:r>
      <w:r w:rsidRPr="00F65FC9">
        <w:rPr>
          <w:sz w:val="14"/>
          <w:szCs w:val="14"/>
        </w:rPr>
        <w:t xml:space="preserve">industry assignment on the BR. </w:t>
      </w:r>
    </w:p>
    <w:p w14:paraId="4C0D64A6" w14:textId="1F182C45" w:rsidR="002E1E1E" w:rsidRDefault="00F65FC9" w:rsidP="00F65FC9">
      <w:pPr>
        <w:rPr>
          <w:sz w:val="22"/>
          <w:szCs w:val="22"/>
        </w:rPr>
      </w:pPr>
      <w:r w:rsidRPr="00F65FC9">
        <w:rPr>
          <w:sz w:val="14"/>
          <w:szCs w:val="14"/>
        </w:rPr>
        <w:t>*Due to data suppression, please use “All industries” in industry filter</w:t>
      </w:r>
      <w:r>
        <w:rPr>
          <w:sz w:val="14"/>
          <w:szCs w:val="14"/>
        </w:rPr>
        <w:t>.</w:t>
      </w:r>
    </w:p>
    <w:p w14:paraId="0A01EB50" w14:textId="77777777" w:rsidR="002E1E1E" w:rsidRPr="002E1E1E" w:rsidRDefault="002E1E1E" w:rsidP="002E1E1E">
      <w:pPr>
        <w:pStyle w:val="Default"/>
        <w:rPr>
          <w:rFonts w:asciiTheme="minorHAnsi" w:hAnsiTheme="minorHAnsi" w:cstheme="minorBidi"/>
          <w:color w:val="auto"/>
          <w:sz w:val="14"/>
          <w:szCs w:val="14"/>
          <w:lang w:val="en-CA"/>
        </w:rPr>
      </w:pPr>
    </w:p>
    <w:p w14:paraId="601AD5BA" w14:textId="2194B287" w:rsidR="002E1E1E" w:rsidRDefault="002E1E1E" w:rsidP="002E1E1E">
      <w:pPr>
        <w:pStyle w:val="Default"/>
        <w:rPr>
          <w:sz w:val="22"/>
          <w:szCs w:val="22"/>
        </w:rPr>
      </w:pPr>
    </w:p>
    <w:p w14:paraId="22FA0F8E" w14:textId="77777777" w:rsidR="002B0E2D" w:rsidRPr="002B0E2D" w:rsidRDefault="002B0E2D" w:rsidP="002B0E2D">
      <w:pPr>
        <w:autoSpaceDE w:val="0"/>
        <w:autoSpaceDN w:val="0"/>
        <w:adjustRightInd w:val="0"/>
        <w:rPr>
          <w:rFonts w:ascii="Calibri" w:hAnsi="Calibri" w:cs="Calibri"/>
          <w:color w:val="000000"/>
          <w:lang w:val="en-US"/>
        </w:rPr>
      </w:pPr>
    </w:p>
    <w:p w14:paraId="284B7CC1" w14:textId="77777777" w:rsidR="002E1E1E" w:rsidRPr="002B0E2D" w:rsidRDefault="002E1E1E">
      <w:pPr>
        <w:rPr>
          <w:sz w:val="14"/>
          <w:szCs w:val="14"/>
          <w:lang w:val="en-US"/>
        </w:rPr>
      </w:pPr>
    </w:p>
    <w:sectPr w:rsidR="002E1E1E" w:rsidRPr="002B0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8202A"/>
    <w:multiLevelType w:val="hybridMultilevel"/>
    <w:tmpl w:val="91A8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73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24"/>
    <w:rsid w:val="001D4424"/>
    <w:rsid w:val="002B0E2D"/>
    <w:rsid w:val="002E1E1E"/>
    <w:rsid w:val="00866706"/>
    <w:rsid w:val="008E3C31"/>
    <w:rsid w:val="00A5328D"/>
    <w:rsid w:val="00AA6242"/>
    <w:rsid w:val="00B2662D"/>
    <w:rsid w:val="00CF663B"/>
    <w:rsid w:val="00D3542F"/>
    <w:rsid w:val="00DF7145"/>
    <w:rsid w:val="00F65F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B6AC9"/>
  <w15:chartTrackingRefBased/>
  <w15:docId w15:val="{7B3BEAB9-1168-7E4B-9608-18A0E5E5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E1E"/>
    <w:pPr>
      <w:autoSpaceDE w:val="0"/>
      <w:autoSpaceDN w:val="0"/>
      <w:adjustRightInd w:val="0"/>
    </w:pPr>
    <w:rPr>
      <w:rFonts w:ascii="Calibri" w:hAnsi="Calibri" w:cs="Calibri"/>
      <w:color w:val="000000"/>
      <w:lang w:val="en-US"/>
    </w:rPr>
  </w:style>
  <w:style w:type="paragraph" w:styleId="ListParagraph">
    <w:name w:val="List Paragraph"/>
    <w:basedOn w:val="Normal"/>
    <w:uiPriority w:val="34"/>
    <w:qFormat/>
    <w:rsid w:val="008E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tingwenh@student.ubc.ca</dc:creator>
  <cp:keywords/>
  <dc:description/>
  <cp:lastModifiedBy>tingwenh@student.ubc.ca</cp:lastModifiedBy>
  <cp:revision>3</cp:revision>
  <dcterms:created xsi:type="dcterms:W3CDTF">2022-06-03T07:25:00Z</dcterms:created>
  <dcterms:modified xsi:type="dcterms:W3CDTF">2022-06-03T07:28:00Z</dcterms:modified>
</cp:coreProperties>
</file>