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color w:val="000000"/>
          <w:rtl w:val="0"/>
        </w:rPr>
        <w:t xml:space="preserve">Fill in the descriptions below for each operator. You can use this in the future as a reference guide to help you with your labs. </w:t>
      </w:r>
    </w:p>
    <w:p w:rsidR="00000000" w:rsidDel="00000000" w:rsidP="00000000" w:rsidRDefault="00000000" w:rsidRPr="00000000">
      <w:pPr>
        <w:contextualSpacing w:val="0"/>
      </w:pPr>
      <w:r w:rsidDel="00000000" w:rsidR="00000000" w:rsidRPr="00000000">
        <w:rPr>
          <w:rtl w:val="0"/>
        </w:rPr>
      </w:r>
    </w:p>
    <w:tbl>
      <w:tblPr>
        <w:tblStyle w:val="Table1"/>
        <w:bidi w:val="0"/>
        <w:tblW w:w="1117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3195"/>
        <w:gridCol w:w="7980"/>
        <w:tblGridChange w:id="0">
          <w:tblGrid>
            <w:gridCol w:w="3195"/>
            <w:gridCol w:w="7980"/>
          </w:tblGrid>
        </w:tblGridChange>
      </w:tblGrid>
      <w:tr>
        <w:tc>
          <w:tcPr>
            <w:shd w:fill="cccccc"/>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color w:val="000000"/>
                <w:sz w:val="36"/>
                <w:szCs w:val="36"/>
                <w:shd w:fill="cccccc" w:val="clear"/>
                <w:rtl w:val="0"/>
              </w:rPr>
              <w:t xml:space="preserve">Operator</w:t>
            </w:r>
            <w:r w:rsidDel="00000000" w:rsidR="00000000" w:rsidRPr="00000000">
              <w:rPr>
                <w:rtl w:val="0"/>
              </w:rPr>
            </w:r>
          </w:p>
        </w:tc>
        <w:tc>
          <w:tcPr>
            <w:shd w:fill="cccccc"/>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color w:val="000000"/>
                <w:sz w:val="36"/>
                <w:szCs w:val="36"/>
                <w:shd w:fill="cccccc" w:val="clear"/>
                <w:rtl w:val="0"/>
              </w:rPr>
              <w:t xml:space="preserve">Description</w:t>
            </w:r>
            <w:r w:rsidDel="00000000" w:rsidR="00000000" w:rsidRPr="00000000">
              <w:rPr>
                <w:rtl w:val="0"/>
              </w:rPr>
            </w:r>
          </w:p>
        </w:tc>
      </w:tr>
      <w:tr>
        <w:trPr>
          <w:trHeight w:val="1440" w:hRule="atLeast"/>
        </w:trPr>
        <w:tc>
          <w:tcPr>
            <w:tcBorders>
              <w:bottom w:color="dddddd" w:space="0" w:sz="6" w:val="single"/>
            </w:tcBorders>
            <w:shd w:fill="f6b26b"/>
            <w:tcMar>
              <w:top w:w="40.0" w:type="dxa"/>
              <w:left w:w="40.0" w:type="dxa"/>
              <w:bottom w:w="40.0" w:type="dxa"/>
              <w:right w:w="40.0" w:type="dxa"/>
            </w:tcMar>
            <w:vAlign w:val="center"/>
          </w:tcPr>
          <w:p w:rsidR="00000000" w:rsidDel="00000000" w:rsidP="00000000" w:rsidRDefault="00000000" w:rsidRPr="00000000">
            <w:pPr>
              <w:ind w:right="-285"/>
              <w:contextualSpacing w:val="0"/>
              <w:jc w:val="center"/>
            </w:pPr>
            <w:r w:rsidDel="00000000" w:rsidR="00000000" w:rsidRPr="00000000">
              <w:rPr>
                <w:rFonts w:ascii="Arial" w:cs="Arial" w:eastAsia="Arial" w:hAnsi="Arial"/>
                <w:b w:val="1"/>
                <w:color w:val="000000"/>
                <w:sz w:val="36"/>
                <w:szCs w:val="36"/>
                <w:shd w:fill="f6b26b" w:val="clear"/>
                <w:rtl w:val="0"/>
              </w:rPr>
              <w:t xml:space="preserve">+</w:t>
            </w:r>
            <w:r w:rsidDel="00000000" w:rsidR="00000000" w:rsidRPr="00000000">
              <w:rPr>
                <w:rtl w:val="0"/>
              </w:rPr>
            </w:r>
          </w:p>
        </w:tc>
        <w:tc>
          <w:tcPr>
            <w:tcBorders>
              <w:bottom w:color="dddddd" w:space="0" w:sz="6" w:val="single"/>
            </w:tcBorders>
            <w:shd w:fill="00ffff"/>
            <w:tcMar>
              <w:top w:w="129.6" w:type="dxa"/>
              <w:left w:w="129.6" w:type="dxa"/>
              <w:bottom w:w="129.6" w:type="dxa"/>
              <w:right w:w="129.6" w:type="dxa"/>
            </w:tcMar>
            <w:vAlign w:val="center"/>
          </w:tcPr>
          <w:p w:rsidR="00000000" w:rsidDel="00000000" w:rsidP="00000000" w:rsidRDefault="00000000" w:rsidRPr="00000000">
            <w:pPr>
              <w:ind w:right="-285"/>
              <w:contextualSpacing w:val="0"/>
            </w:pPr>
            <w:r w:rsidDel="00000000" w:rsidR="00000000" w:rsidRPr="00000000">
              <w:rPr>
                <w:rFonts w:ascii="Arial" w:cs="Arial" w:eastAsia="Arial" w:hAnsi="Arial"/>
                <w:color w:val="000000"/>
                <w:sz w:val="20"/>
                <w:szCs w:val="20"/>
                <w:rtl w:val="0"/>
              </w:rPr>
              <w:t xml:space="preserve">Addition, adds values on either sides of the operator.</w:t>
            </w:r>
          </w:p>
        </w:tc>
      </w:tr>
      <w:tr>
        <w:trPr>
          <w:trHeight w:val="1440" w:hRule="atLeast"/>
        </w:trPr>
        <w:tc>
          <w:tcPr>
            <w:tcBorders>
              <w:left w:color="dddddd" w:space="0" w:sz="6" w:val="single"/>
              <w:bottom w:color="dddddd" w:space="0" w:sz="6" w:val="single"/>
              <w:right w:color="dddddd" w:space="0" w:sz="6" w:val="single"/>
            </w:tcBorders>
            <w:shd w:fill="f6b26b"/>
            <w:tcMar>
              <w:top w:w="40.0" w:type="dxa"/>
              <w:left w:w="40.0" w:type="dxa"/>
              <w:bottom w:w="40.0" w:type="dxa"/>
              <w:right w:w="40.0" w:type="dxa"/>
            </w:tcMar>
            <w:vAlign w:val="center"/>
          </w:tcPr>
          <w:p w:rsidR="00000000" w:rsidDel="00000000" w:rsidP="00000000" w:rsidRDefault="00000000" w:rsidRPr="00000000">
            <w:pPr>
              <w:ind w:right="-285"/>
              <w:contextualSpacing w:val="0"/>
              <w:jc w:val="center"/>
            </w:pPr>
            <w:r w:rsidDel="00000000" w:rsidR="00000000" w:rsidRPr="00000000">
              <w:rPr>
                <w:rFonts w:ascii="Arial" w:cs="Arial" w:eastAsia="Arial" w:hAnsi="Arial"/>
                <w:b w:val="1"/>
                <w:color w:val="000000"/>
                <w:sz w:val="36"/>
                <w:szCs w:val="36"/>
                <w:shd w:fill="f6b26b" w:val="clear"/>
                <w:rtl w:val="0"/>
              </w:rPr>
              <w:t xml:space="preserve">-</w:t>
            </w:r>
            <w:r w:rsidDel="00000000" w:rsidR="00000000" w:rsidRPr="00000000">
              <w:rPr>
                <w:rtl w:val="0"/>
              </w:rPr>
            </w:r>
          </w:p>
        </w:tc>
        <w:tc>
          <w:tcPr>
            <w:tcBorders>
              <w:bottom w:color="dddddd" w:space="0" w:sz="6" w:val="single"/>
              <w:right w:color="dddddd" w:space="0" w:sz="6" w:val="single"/>
            </w:tcBorders>
            <w:shd w:fill="00ffff"/>
            <w:tcMar>
              <w:top w:w="129.6" w:type="dxa"/>
              <w:left w:w="129.6" w:type="dxa"/>
              <w:bottom w:w="129.6" w:type="dxa"/>
              <w:right w:w="129.6" w:type="dxa"/>
            </w:tcMar>
            <w:vAlign w:val="center"/>
          </w:tcPr>
          <w:p w:rsidR="00000000" w:rsidDel="00000000" w:rsidP="00000000" w:rsidRDefault="00000000" w:rsidRPr="00000000">
            <w:pPr>
              <w:ind w:right="-285"/>
              <w:contextualSpacing w:val="0"/>
            </w:pPr>
            <w:r w:rsidDel="00000000" w:rsidR="00000000" w:rsidRPr="00000000">
              <w:rPr>
                <w:rFonts w:ascii="Arial" w:cs="Arial" w:eastAsia="Arial" w:hAnsi="Arial"/>
                <w:color w:val="000000"/>
                <w:sz w:val="20"/>
                <w:szCs w:val="20"/>
                <w:rtl w:val="0"/>
              </w:rPr>
              <w:t xml:space="preserve">Subtraction, subtracts left hand value from right hand value.</w:t>
            </w:r>
          </w:p>
        </w:tc>
      </w:tr>
      <w:tr>
        <w:trPr>
          <w:trHeight w:val="1440" w:hRule="atLeast"/>
        </w:trPr>
        <w:tc>
          <w:tcPr>
            <w:shd w:fill="f6b26b"/>
            <w:tcMar>
              <w:top w:w="40.0" w:type="dxa"/>
              <w:left w:w="40.0" w:type="dxa"/>
              <w:bottom w:w="40.0" w:type="dxa"/>
              <w:right w:w="40.0" w:type="dxa"/>
            </w:tcMar>
            <w:vAlign w:val="center"/>
          </w:tcPr>
          <w:p w:rsidR="00000000" w:rsidDel="00000000" w:rsidP="00000000" w:rsidRDefault="00000000" w:rsidRPr="00000000">
            <w:pPr>
              <w:ind w:right="-285"/>
              <w:contextualSpacing w:val="0"/>
              <w:jc w:val="center"/>
            </w:pPr>
            <w:r w:rsidDel="00000000" w:rsidR="00000000" w:rsidRPr="00000000">
              <w:rPr>
                <w:rFonts w:ascii="Arial" w:cs="Arial" w:eastAsia="Arial" w:hAnsi="Arial"/>
                <w:b w:val="1"/>
                <w:color w:val="000000"/>
                <w:sz w:val="36"/>
                <w:szCs w:val="36"/>
                <w:shd w:fill="f6b26b" w:val="clear"/>
                <w:rtl w:val="0"/>
              </w:rPr>
              <w:t xml:space="preserve">*</w:t>
            </w:r>
            <w:r w:rsidDel="00000000" w:rsidR="00000000" w:rsidRPr="00000000">
              <w:rPr>
                <w:rtl w:val="0"/>
              </w:rPr>
            </w:r>
          </w:p>
        </w:tc>
        <w:tc>
          <w:tcPr>
            <w:shd w:fill="00ffff"/>
            <w:tcMar>
              <w:top w:w="129.6" w:type="dxa"/>
              <w:left w:w="129.6" w:type="dxa"/>
              <w:bottom w:w="129.6" w:type="dxa"/>
              <w:right w:w="129.6" w:type="dxa"/>
            </w:tcMar>
            <w:vAlign w:val="center"/>
          </w:tcPr>
          <w:p w:rsidR="00000000" w:rsidDel="00000000" w:rsidP="00000000" w:rsidRDefault="00000000" w:rsidRPr="00000000">
            <w:pPr>
              <w:ind w:right="-285"/>
              <w:contextualSpacing w:val="0"/>
            </w:pPr>
            <w:r w:rsidDel="00000000" w:rsidR="00000000" w:rsidRPr="00000000">
              <w:rPr>
                <w:rFonts w:ascii="Arial" w:cs="Arial" w:eastAsia="Arial" w:hAnsi="Arial"/>
                <w:color w:val="000000"/>
                <w:sz w:val="20"/>
                <w:szCs w:val="20"/>
                <w:rtl w:val="0"/>
              </w:rPr>
              <w:t xml:space="preserve">Multiplication, multiplies values on either sides of the operator. </w:t>
            </w:r>
          </w:p>
        </w:tc>
      </w:tr>
      <w:tr>
        <w:trPr>
          <w:trHeight w:val="1440" w:hRule="atLeast"/>
        </w:trPr>
        <w:tc>
          <w:tcPr>
            <w:tcBorders>
              <w:bottom w:color="dddddd" w:space="0" w:sz="6" w:val="single"/>
            </w:tcBorders>
            <w:shd w:fill="f6b26b"/>
            <w:tcMar>
              <w:top w:w="40.0" w:type="dxa"/>
              <w:left w:w="40.0" w:type="dxa"/>
              <w:bottom w:w="40.0" w:type="dxa"/>
              <w:right w:w="40.0" w:type="dxa"/>
            </w:tcMar>
            <w:vAlign w:val="center"/>
          </w:tcPr>
          <w:p w:rsidR="00000000" w:rsidDel="00000000" w:rsidP="00000000" w:rsidRDefault="00000000" w:rsidRPr="00000000">
            <w:pPr>
              <w:ind w:right="-285"/>
              <w:contextualSpacing w:val="0"/>
              <w:jc w:val="center"/>
            </w:pPr>
            <w:r w:rsidDel="00000000" w:rsidR="00000000" w:rsidRPr="00000000">
              <w:rPr>
                <w:rFonts w:ascii="Arial" w:cs="Arial" w:eastAsia="Arial" w:hAnsi="Arial"/>
                <w:b w:val="1"/>
                <w:color w:val="000000"/>
                <w:sz w:val="36"/>
                <w:szCs w:val="36"/>
                <w:shd w:fill="f6b26b" w:val="clear"/>
                <w:rtl w:val="0"/>
              </w:rPr>
              <w:t xml:space="preserve">/</w:t>
            </w:r>
            <w:r w:rsidDel="00000000" w:rsidR="00000000" w:rsidRPr="00000000">
              <w:rPr>
                <w:rtl w:val="0"/>
              </w:rPr>
            </w:r>
          </w:p>
        </w:tc>
        <w:tc>
          <w:tcPr>
            <w:tcBorders>
              <w:bottom w:color="dddddd" w:space="0" w:sz="6" w:val="single"/>
            </w:tcBorders>
            <w:shd w:fill="00ffff"/>
            <w:tcMar>
              <w:top w:w="129.6" w:type="dxa"/>
              <w:left w:w="129.6" w:type="dxa"/>
              <w:bottom w:w="129.6" w:type="dxa"/>
              <w:right w:w="129.6" w:type="dxa"/>
            </w:tcMar>
            <w:vAlign w:val="center"/>
          </w:tcPr>
          <w:p w:rsidR="00000000" w:rsidDel="00000000" w:rsidP="00000000" w:rsidRDefault="00000000" w:rsidRPr="00000000">
            <w:pPr>
              <w:ind w:right="-285"/>
              <w:contextualSpacing w:val="0"/>
            </w:pPr>
            <w:r w:rsidDel="00000000" w:rsidR="00000000" w:rsidRPr="00000000">
              <w:rPr>
                <w:rFonts w:ascii="Arial" w:cs="Arial" w:eastAsia="Arial" w:hAnsi="Arial"/>
                <w:color w:val="000000"/>
                <w:sz w:val="20"/>
                <w:szCs w:val="20"/>
                <w:rtl w:val="0"/>
              </w:rPr>
              <w:t xml:space="preserve">Division, divides left hand value by right hand value.</w:t>
            </w:r>
          </w:p>
        </w:tc>
      </w:tr>
      <w:tr>
        <w:trPr>
          <w:trHeight w:val="1440" w:hRule="atLeast"/>
        </w:trPr>
        <w:tc>
          <w:tcPr>
            <w:tcBorders>
              <w:left w:color="dddddd" w:space="0" w:sz="6" w:val="single"/>
              <w:bottom w:color="dddddd" w:space="0" w:sz="6" w:val="single"/>
              <w:right w:color="dddddd" w:space="0" w:sz="6" w:val="single"/>
            </w:tcBorders>
            <w:shd w:fill="f6b26b"/>
            <w:tcMar>
              <w:top w:w="40.0" w:type="dxa"/>
              <w:left w:w="40.0" w:type="dxa"/>
              <w:bottom w:w="40.0" w:type="dxa"/>
              <w:right w:w="40.0" w:type="dxa"/>
            </w:tcMar>
            <w:vAlign w:val="center"/>
          </w:tcPr>
          <w:p w:rsidR="00000000" w:rsidDel="00000000" w:rsidP="00000000" w:rsidRDefault="00000000" w:rsidRPr="00000000">
            <w:pPr>
              <w:ind w:right="-285"/>
              <w:contextualSpacing w:val="0"/>
              <w:jc w:val="center"/>
            </w:pPr>
            <w:r w:rsidDel="00000000" w:rsidR="00000000" w:rsidRPr="00000000">
              <w:rPr>
                <w:rFonts w:ascii="Arial" w:cs="Arial" w:eastAsia="Arial" w:hAnsi="Arial"/>
                <w:b w:val="1"/>
                <w:color w:val="000000"/>
                <w:sz w:val="36"/>
                <w:szCs w:val="36"/>
                <w:shd w:fill="f6b26b" w:val="clear"/>
                <w:rtl w:val="0"/>
              </w:rPr>
              <w:t xml:space="preserve">%</w:t>
            </w:r>
            <w:r w:rsidDel="00000000" w:rsidR="00000000" w:rsidRPr="00000000">
              <w:rPr>
                <w:rtl w:val="0"/>
              </w:rPr>
            </w:r>
          </w:p>
        </w:tc>
        <w:tc>
          <w:tcPr>
            <w:tcBorders>
              <w:bottom w:color="dddddd" w:space="0" w:sz="6" w:val="single"/>
              <w:right w:color="dddddd" w:space="0" w:sz="6" w:val="single"/>
            </w:tcBorders>
            <w:shd w:fill="00ffff"/>
            <w:tcMar>
              <w:top w:w="129.6" w:type="dxa"/>
              <w:left w:w="129.6" w:type="dxa"/>
              <w:bottom w:w="129.6" w:type="dxa"/>
              <w:right w:w="129.6" w:type="dxa"/>
            </w:tcMar>
            <w:vAlign w:val="center"/>
          </w:tcPr>
          <w:p w:rsidR="00000000" w:rsidDel="00000000" w:rsidP="00000000" w:rsidRDefault="00000000" w:rsidRPr="00000000">
            <w:pPr>
              <w:ind w:right="-285"/>
              <w:contextualSpacing w:val="0"/>
            </w:pPr>
            <w:r w:rsidDel="00000000" w:rsidR="00000000" w:rsidRPr="00000000">
              <w:rPr>
                <w:rFonts w:ascii="Arial" w:cs="Arial" w:eastAsia="Arial" w:hAnsi="Arial"/>
                <w:color w:val="000000"/>
                <w:sz w:val="20"/>
                <w:szCs w:val="20"/>
                <w:rtl w:val="0"/>
              </w:rPr>
              <w:t xml:space="preserve">Modulus, divides left hand value by right hand value and returns remainder.</w:t>
            </w:r>
          </w:p>
        </w:tc>
      </w:tr>
      <w:tr>
        <w:trPr>
          <w:trHeight w:val="1440" w:hRule="atLeast"/>
        </w:trPr>
        <w:tc>
          <w:tcPr>
            <w:tcBorders>
              <w:left w:color="dddddd" w:space="0" w:sz="6" w:val="single"/>
              <w:bottom w:color="dddddd" w:space="0" w:sz="6" w:val="single"/>
              <w:right w:color="dddddd" w:space="0" w:sz="6" w:val="single"/>
            </w:tcBorders>
            <w:shd w:fill="f6b26b"/>
            <w:tcMar>
              <w:top w:w="40.0" w:type="dxa"/>
              <w:left w:w="40.0" w:type="dxa"/>
              <w:bottom w:w="40.0" w:type="dxa"/>
              <w:right w:w="40.0" w:type="dxa"/>
            </w:tcMar>
            <w:vAlign w:val="center"/>
          </w:tcPr>
          <w:p w:rsidR="00000000" w:rsidDel="00000000" w:rsidP="00000000" w:rsidRDefault="00000000" w:rsidRPr="00000000">
            <w:pPr>
              <w:ind w:right="-285"/>
              <w:contextualSpacing w:val="0"/>
              <w:jc w:val="center"/>
            </w:pPr>
            <w:r w:rsidDel="00000000" w:rsidR="00000000" w:rsidRPr="00000000">
              <w:rPr>
                <w:rFonts w:ascii="Arial" w:cs="Arial" w:eastAsia="Arial" w:hAnsi="Arial"/>
                <w:b w:val="1"/>
                <w:color w:val="000000"/>
                <w:sz w:val="36"/>
                <w:szCs w:val="36"/>
                <w:shd w:fill="f6b26b" w:val="clear"/>
                <w:rtl w:val="0"/>
              </w:rPr>
              <w:t xml:space="preserve">**</w:t>
            </w:r>
          </w:p>
        </w:tc>
        <w:tc>
          <w:tcPr>
            <w:tcBorders>
              <w:bottom w:color="dddddd" w:space="0" w:sz="6" w:val="single"/>
              <w:right w:color="dddddd" w:space="0" w:sz="6" w:val="single"/>
            </w:tcBorders>
            <w:shd w:fill="00ffff"/>
            <w:tcMar>
              <w:top w:w="129.6" w:type="dxa"/>
              <w:left w:w="129.6" w:type="dxa"/>
              <w:bottom w:w="129.6" w:type="dxa"/>
              <w:right w:w="129.6" w:type="dxa"/>
            </w:tcMar>
            <w:vAlign w:val="center"/>
          </w:tcPr>
          <w:p w:rsidR="00000000" w:rsidDel="00000000" w:rsidP="00000000" w:rsidRDefault="00000000" w:rsidRPr="00000000">
            <w:pPr>
              <w:ind w:right="-285"/>
              <w:contextualSpacing w:val="0"/>
            </w:pPr>
            <w:r w:rsidDel="00000000" w:rsidR="00000000" w:rsidRPr="00000000">
              <w:rPr>
                <w:rFonts w:ascii="Arial" w:cs="Arial" w:eastAsia="Arial" w:hAnsi="Arial"/>
                <w:color w:val="000000"/>
                <w:sz w:val="20"/>
                <w:szCs w:val="20"/>
                <w:rtl w:val="0"/>
              </w:rPr>
              <w:t xml:space="preserve">Exponent, forms exponential(power) calculation on operators.</w:t>
            </w:r>
          </w:p>
        </w:tc>
      </w:tr>
      <w:tr>
        <w:trPr>
          <w:trHeight w:val="1440" w:hRule="atLeast"/>
        </w:trPr>
        <w:tc>
          <w:tcPr>
            <w:tcBorders>
              <w:left w:color="dddddd" w:space="0" w:sz="6" w:val="single"/>
              <w:bottom w:color="dddddd" w:space="0" w:sz="6" w:val="single"/>
              <w:right w:color="dddddd" w:space="0" w:sz="6" w:val="single"/>
            </w:tcBorders>
            <w:shd w:fill="f6b26b"/>
            <w:tcMar>
              <w:top w:w="40.0" w:type="dxa"/>
              <w:left w:w="40.0" w:type="dxa"/>
              <w:bottom w:w="40.0" w:type="dxa"/>
              <w:right w:w="40.0" w:type="dxa"/>
            </w:tcMar>
            <w:vAlign w:val="center"/>
          </w:tcPr>
          <w:p w:rsidR="00000000" w:rsidDel="00000000" w:rsidP="00000000" w:rsidRDefault="00000000" w:rsidRPr="00000000">
            <w:pPr>
              <w:ind w:right="-285"/>
              <w:contextualSpacing w:val="0"/>
              <w:jc w:val="center"/>
            </w:pPr>
            <w:r w:rsidDel="00000000" w:rsidR="00000000" w:rsidRPr="00000000">
              <w:rPr>
                <w:rFonts w:ascii="Arial" w:cs="Arial" w:eastAsia="Arial" w:hAnsi="Arial"/>
                <w:b w:val="1"/>
                <w:color w:val="000000"/>
                <w:sz w:val="36"/>
                <w:szCs w:val="36"/>
                <w:shd w:fill="f6b26b" w:val="clear"/>
                <w:rtl w:val="0"/>
              </w:rPr>
              <w:t xml:space="preserve">//</w:t>
            </w:r>
          </w:p>
        </w:tc>
        <w:tc>
          <w:tcPr>
            <w:tcBorders>
              <w:bottom w:color="dddddd" w:space="0" w:sz="6" w:val="single"/>
              <w:right w:color="dddddd" w:space="0" w:sz="6" w:val="single"/>
            </w:tcBorders>
            <w:shd w:fill="00ffff"/>
            <w:tcMar>
              <w:top w:w="129.6" w:type="dxa"/>
              <w:left w:w="129.6" w:type="dxa"/>
              <w:bottom w:w="129.6" w:type="dxa"/>
              <w:right w:w="129.6" w:type="dxa"/>
            </w:tcMar>
            <w:vAlign w:val="center"/>
          </w:tcPr>
          <w:p w:rsidR="00000000" w:rsidDel="00000000" w:rsidP="00000000" w:rsidRDefault="00000000" w:rsidRPr="00000000">
            <w:pPr>
              <w:ind w:right="-285"/>
              <w:contextualSpacing w:val="0"/>
            </w:pPr>
            <w:r w:rsidDel="00000000" w:rsidR="00000000" w:rsidRPr="00000000">
              <w:rPr>
                <w:rFonts w:ascii="Arial" w:cs="Arial" w:eastAsia="Arial" w:hAnsi="Arial"/>
                <w:color w:val="000000"/>
                <w:sz w:val="20"/>
                <w:szCs w:val="20"/>
                <w:rtl w:val="0"/>
              </w:rPr>
              <w:t xml:space="preserve">Floor Division, the division of values where the result is the quotient in which the digits after the decimal point are removed. But if one of the values is negative, the result is rounded away from zero, meaning towards negative infinity.</w:t>
            </w:r>
          </w:p>
        </w:tc>
      </w:tr>
    </w:tbl>
    <w:p w:rsidR="00000000" w:rsidDel="00000000" w:rsidP="00000000" w:rsidRDefault="00000000" w:rsidRPr="00000000">
      <w:pPr>
        <w:contextualSpacing w:val="0"/>
      </w:pPr>
      <w:r w:rsidDel="00000000" w:rsidR="00000000" w:rsidRPr="00000000">
        <w:rPr>
          <w:rtl w:val="0"/>
        </w:rPr>
      </w:r>
    </w:p>
    <w:sectPr>
      <w:pgSz w:h="15840" w:w="12240"/>
      <w:pgMar w:bottom="360" w:top="360" w:left="360" w:right="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cccccc"/>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