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8.png" ContentType="image/png"/>
  <Override PartName="/word/media/rId36.png" ContentType="image/png"/>
  <Override PartName="/word/media/rId30.png" ContentType="image/png"/>
  <Override PartName="/word/media/rId31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treatment</w:t>
      </w:r>
      <w:r>
        <w:t xml:space="preserve"> </w:t>
      </w:r>
      <w:r>
        <w:t xml:space="preserve">response</w:t>
      </w:r>
      <w:r>
        <w:t xml:space="preserve"> </w:t>
      </w:r>
      <w:r>
        <w:t xml:space="preserve">using</w:t>
      </w:r>
      <w:r>
        <w:t xml:space="preserve"> </w:t>
      </w:r>
      <w:r>
        <w:t xml:space="preserve">shallow</w:t>
      </w:r>
      <w:r>
        <w:t xml:space="preserve"> </w:t>
      </w:r>
      <w:r>
        <w:t xml:space="preserve">whole</w:t>
      </w:r>
      <w:r>
        <w:t xml:space="preserve"> </w:t>
      </w:r>
      <w:r>
        <w:t xml:space="preserve">genome</w:t>
      </w:r>
      <w:r>
        <w:t xml:space="preserve"> </w:t>
      </w:r>
      <w:r>
        <w:t xml:space="preserve">sequencing</w:t>
      </w:r>
      <w:r>
        <w:t xml:space="preserve"> </w:t>
      </w:r>
      <w:r>
        <w:t xml:space="preserve">of</w:t>
      </w:r>
      <w:r>
        <w:t xml:space="preserve"> </w:t>
      </w:r>
      <w:r>
        <w:t xml:space="preserve">cell-free</w:t>
      </w:r>
      <w:r>
        <w:t xml:space="preserve"> </w:t>
      </w:r>
      <w:r>
        <w:t xml:space="preserve">DNA</w:t>
      </w:r>
      <w:r>
        <w:t xml:space="preserve"> </w:t>
      </w:r>
      <w:r>
        <w:t xml:space="preserve">using</w:t>
      </w:r>
      <w:r>
        <w:t xml:space="preserve"> </w:t>
      </w:r>
      <w:r>
        <w:t xml:space="preserve">in</w:t>
      </w:r>
      <w:r>
        <w:t xml:space="preserve"> </w:t>
      </w:r>
      <w:r>
        <w:t xml:space="preserve">patients</w:t>
      </w:r>
      <w:r>
        <w:t xml:space="preserve"> </w:t>
      </w:r>
      <w:r>
        <w:t xml:space="preserve">with</w:t>
      </w:r>
      <w:r>
        <w:t xml:space="preserve"> </w:t>
      </w:r>
      <w:r>
        <w:t xml:space="preserve">metastatic</w:t>
      </w:r>
      <w:r>
        <w:t xml:space="preserve"> </w:t>
      </w:r>
      <w:r>
        <w:t xml:space="preserve">Her2+ve</w:t>
      </w:r>
      <w:r>
        <w:t xml:space="preserve"> </w:t>
      </w:r>
      <w:r>
        <w:t xml:space="preserve">breast</w:t>
      </w:r>
      <w:r>
        <w:t xml:space="preserve"> </w:t>
      </w:r>
      <w:r>
        <w:t xml:space="preserve">cancer.</w:t>
      </w:r>
    </w:p>
    <w:p>
      <w:pPr>
        <w:pStyle w:val="Author"/>
      </w:pPr>
      <w:r>
        <w:t xml:space="preserve">Alistair</w:t>
      </w:r>
      <w:r>
        <w:t xml:space="preserve"> </w:t>
      </w:r>
      <w:r>
        <w:t xml:space="preserve">Martin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Beddowes</w:t>
      </w:r>
      <w:r>
        <w:t xml:space="preserve"> </w:t>
      </w:r>
      <w:r>
        <w:t xml:space="preserve">and</w:t>
      </w:r>
      <w:r>
        <w:t xml:space="preserve"> </w:t>
      </w:r>
      <w:r>
        <w:t xml:space="preserve">Mario</w:t>
      </w:r>
      <w:r>
        <w:t xml:space="preserve"> </w:t>
      </w:r>
      <w:r>
        <w:t xml:space="preserve">Ortega</w:t>
      </w:r>
      <w:r>
        <w:t xml:space="preserve"> </w:t>
      </w:r>
      <w:r>
        <w:t xml:space="preserve">Duran</w:t>
      </w:r>
      <w:r>
        <w:t xml:space="preserve"> </w:t>
      </w:r>
      <w:r>
        <w:t xml:space="preserve">and</w:t>
      </w:r>
      <w:r>
        <w:t xml:space="preserve"> </w:t>
      </w:r>
      <w:r>
        <w:t xml:space="preserve">others</w:t>
      </w:r>
      <w:r>
        <w:t xml:space="preserve"> </w:t>
      </w:r>
      <w:r>
        <w:t xml:space="preserve">and</w:t>
      </w:r>
      <w:r>
        <w:t xml:space="preserve"> </w:t>
      </w:r>
      <w:r>
        <w:t xml:space="preserve">Carlos</w:t>
      </w:r>
      <w:r>
        <w:t xml:space="preserve"> </w:t>
      </w:r>
      <w:r>
        <w:t xml:space="preserve">Caldas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May,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VerbatimChar"/>
        </w:rPr>
        <w:t xml:space="preserve">## 'select()' returned 1:many mapping between keys and columns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Heading1"/>
      </w:pPr>
      <w:bookmarkStart w:id="23" w:name="results"/>
      <w:r>
        <w:t xml:space="preserve">Results</w:t>
      </w:r>
      <w:bookmarkEnd w:id="23"/>
    </w:p>
    <w:p>
      <w:pPr>
        <w:pStyle w:val="Heading1"/>
      </w:pPr>
      <w:bookmarkStart w:id="24" w:name="discussion"/>
      <w:r>
        <w:t xml:space="preserve">Discussion</w:t>
      </w:r>
      <w:bookmarkEnd w:id="24"/>
    </w:p>
    <w:p>
      <w:pPr>
        <w:pStyle w:val="Heading1"/>
      </w:pPr>
      <w:bookmarkStart w:id="25" w:name="conclusion"/>
      <w:r>
        <w:t xml:space="preserve">Conclusion</w:t>
      </w:r>
      <w:bookmarkEnd w:id="25"/>
    </w:p>
    <w:p>
      <w:pPr>
        <w:pStyle w:val="Heading1"/>
      </w:pPr>
      <w:bookmarkStart w:id="26" w:name="tables"/>
      <w:r>
        <w:t xml:space="preserve">Tables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at primary diagnosis</w:t>
            </w:r>
          </w:p>
        </w:tc>
        <w:tc>
          <w:p>
            <w:pPr>
              <w:pStyle w:val="Compact"/>
              <w:jc w:val="left"/>
            </w:pPr>
            <w:r>
              <w:t xml:space="preserve">(0,40]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(70,120]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 receptor status</w:t>
            </w:r>
          </w:p>
        </w:tc>
        <w:tc>
          <w:p>
            <w:pPr>
              <w:pStyle w:val="Compact"/>
              <w:jc w:val="left"/>
            </w:pPr>
            <w:r>
              <w:t xml:space="preserve">ER Negative, HER2 Positive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ER Positive, HER2 Positive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Indeterminate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Grade at primary diagnosis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II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III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Vital status</w:t>
            </w:r>
          </w:p>
        </w:tc>
        <w:tc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Deceased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</w:tbl>
    <w:p>
      <w:pPr>
        <w:pStyle w:val="Compact"/>
      </w:pPr>
      <w:r>
        <w:t xml:space="preserve">Measure Comparison</w:t>
      </w:r>
    </w:p>
    <w:p>
      <w:pPr>
        <w:pStyle w:val="Compact"/>
      </w:pPr>
      <w:r>
        <w:t xml:space="preserve">Time Dependent Cox Model</w:t>
      </w:r>
    </w:p>
    <w:p>
      <w:pPr>
        <w:pStyle w:val="Compact"/>
      </w:pPr>
      <w:r>
        <w:t xml:space="preserve">Progression Free Survival</w:t>
      </w:r>
    </w:p>
    <w:p>
      <w:pPr>
        <w:pStyle w:val="Compact"/>
      </w:pPr>
      <w:r>
        <w:t xml:space="preserve">ichorCNA.default</w:t>
      </w:r>
    </w:p>
    <w:p>
      <w:pPr>
        <w:pStyle w:val="Compact"/>
      </w:pPr>
      <w:r>
        <w:t xml:space="preserve">0.860</w:t>
      </w:r>
      <w:r>
        <w:t xml:space="preserve">***</w:t>
      </w:r>
    </w:p>
    <w:p>
      <w:pPr>
        <w:pStyle w:val="Compact"/>
      </w:pPr>
      <w:r>
        <w:t xml:space="preserve">1.370</w:t>
      </w:r>
      <w:r>
        <w:t xml:space="preserve">***</w:t>
      </w:r>
    </w:p>
    <w:p>
      <w:pPr>
        <w:pStyle w:val="Compact"/>
      </w:pPr>
      <w:r>
        <w:t xml:space="preserve">(0.210)</w:t>
      </w:r>
    </w:p>
    <w:p>
      <w:pPr>
        <w:pStyle w:val="Compact"/>
      </w:pPr>
      <w:r>
        <w:t xml:space="preserve">(0.437)</w:t>
      </w:r>
    </w:p>
    <w:p>
      <w:pPr>
        <w:pStyle w:val="Compact"/>
      </w:pPr>
      <w:r>
        <w:t xml:space="preserve">t.Mad</w:t>
      </w:r>
    </w:p>
    <w:p>
      <w:pPr>
        <w:pStyle w:val="Compact"/>
      </w:pPr>
      <w:r>
        <w:t xml:space="preserve">0.503</w:t>
      </w:r>
      <w:r>
        <w:t xml:space="preserve">***</w:t>
      </w:r>
    </w:p>
    <w:p>
      <w:pPr>
        <w:pStyle w:val="Compact"/>
      </w:pPr>
      <w:r>
        <w:t xml:space="preserve">-0.645</w:t>
      </w:r>
    </w:p>
    <w:p>
      <w:pPr>
        <w:pStyle w:val="Compact"/>
      </w:pPr>
      <w:r>
        <w:t xml:space="preserve">(0.161)</w:t>
      </w:r>
    </w:p>
    <w:p>
      <w:pPr>
        <w:pStyle w:val="Compact"/>
      </w:pPr>
      <w:r>
        <w:t xml:space="preserve">(1.240)</w:t>
      </w:r>
    </w:p>
    <w:p>
      <w:pPr>
        <w:pStyle w:val="Compact"/>
      </w:pPr>
      <w:r>
        <w:t xml:space="preserve">ichorCNA.low</w:t>
      </w:r>
    </w:p>
    <w:p>
      <w:pPr>
        <w:pStyle w:val="Compact"/>
      </w:pPr>
      <w:r>
        <w:t xml:space="preserve">0.383</w:t>
      </w:r>
      <w:r>
        <w:t xml:space="preserve">***</w:t>
      </w:r>
    </w:p>
    <w:p>
      <w:pPr>
        <w:pStyle w:val="Compact"/>
      </w:pPr>
      <w:r>
        <w:t xml:space="preserve">0.366</w:t>
      </w:r>
    </w:p>
    <w:p>
      <w:pPr>
        <w:pStyle w:val="Compact"/>
      </w:pPr>
      <w:r>
        <w:t xml:space="preserve">(0.126)</w:t>
      </w:r>
    </w:p>
    <w:p>
      <w:pPr>
        <w:pStyle w:val="Compact"/>
      </w:pPr>
      <w:r>
        <w:t xml:space="preserve">(0.517)</w:t>
      </w:r>
    </w:p>
    <w:p>
      <w:pPr>
        <w:pStyle w:val="Compact"/>
      </w:pPr>
      <w:r>
        <w:t xml:space="preserve">z.OR</w:t>
      </w:r>
    </w:p>
    <w:p>
      <w:pPr>
        <w:pStyle w:val="Compact"/>
      </w:pPr>
      <w:r>
        <w:t xml:space="preserve">0.444</w:t>
      </w:r>
      <w:r>
        <w:t xml:space="preserve">***</w:t>
      </w:r>
    </w:p>
    <w:p>
      <w:pPr>
        <w:pStyle w:val="Compact"/>
      </w:pPr>
      <w:r>
        <w:t xml:space="preserve">-0.358</w:t>
      </w:r>
    </w:p>
    <w:p>
      <w:pPr>
        <w:pStyle w:val="Compact"/>
      </w:pPr>
      <w:r>
        <w:t xml:space="preserve">(0.162)</w:t>
      </w:r>
    </w:p>
    <w:p>
      <w:pPr>
        <w:pStyle w:val="Compact"/>
      </w:pPr>
      <w:r>
        <w:t xml:space="preserve">(0.730)</w:t>
      </w:r>
    </w:p>
    <w:p>
      <w:pPr>
        <w:pStyle w:val="Compact"/>
      </w:pPr>
      <w:r>
        <w:t xml:space="preserve">absolute</w:t>
      </w:r>
    </w:p>
    <w:p>
      <w:pPr>
        <w:pStyle w:val="Compact"/>
      </w:pPr>
      <w:r>
        <w:t xml:space="preserve">0.432</w:t>
      </w:r>
      <w:r>
        <w:t xml:space="preserve">***</w:t>
      </w:r>
    </w:p>
    <w:p>
      <w:pPr>
        <w:pStyle w:val="Compact"/>
      </w:pPr>
      <w:r>
        <w:t xml:space="preserve">0.122</w:t>
      </w:r>
    </w:p>
    <w:p>
      <w:pPr>
        <w:pStyle w:val="Compact"/>
      </w:pPr>
      <w:r>
        <w:t xml:space="preserve">(0.165)</w:t>
      </w:r>
    </w:p>
    <w:p>
      <w:pPr>
        <w:pStyle w:val="Compact"/>
      </w:pPr>
      <w:r>
        <w:t xml:space="preserve">(0.258)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135.1</w:t>
      </w:r>
    </w:p>
    <w:p>
      <w:pPr>
        <w:pStyle w:val="Compact"/>
      </w:pPr>
      <w:r>
        <w:t xml:space="preserve">143.9</w:t>
      </w:r>
    </w:p>
    <w:p>
      <w:pPr>
        <w:pStyle w:val="Compact"/>
      </w:pPr>
      <w:r>
        <w:t xml:space="preserve">145</w:t>
      </w:r>
    </w:p>
    <w:p>
      <w:pPr>
        <w:pStyle w:val="Compact"/>
      </w:pPr>
      <w:r>
        <w:t xml:space="preserve">145.7</w:t>
      </w:r>
    </w:p>
    <w:p>
      <w:pPr>
        <w:pStyle w:val="Compact"/>
      </w:pPr>
      <w:r>
        <w:t xml:space="preserve">146.1</w:t>
      </w:r>
    </w:p>
    <w:p>
      <w:pPr>
        <w:pStyle w:val="Compact"/>
      </w:pPr>
      <w:r>
        <w:t xml:space="preserve">140.6</w:t>
      </w:r>
    </w:p>
    <w:p>
      <w:pPr>
        <w:pStyle w:val="Compact"/>
      </w:pPr>
      <w:r>
        <w:t xml:space="preserve">Concordance</w:t>
      </w:r>
    </w:p>
    <w:p>
      <w:pPr>
        <w:pStyle w:val="Compact"/>
      </w:pPr>
      <w:r>
        <w:t xml:space="preserve">0.809</w:t>
      </w:r>
    </w:p>
    <w:p>
      <w:pPr>
        <w:pStyle w:val="Compact"/>
      </w:pPr>
      <w:r>
        <w:t xml:space="preserve">0.767</w:t>
      </w:r>
    </w:p>
    <w:p>
      <w:pPr>
        <w:pStyle w:val="Compact"/>
      </w:pPr>
      <w:r>
        <w:t xml:space="preserve">0.798</w:t>
      </w:r>
    </w:p>
    <w:p>
      <w:pPr>
        <w:pStyle w:val="Compact"/>
      </w:pPr>
      <w:r>
        <w:t xml:space="preserve">0.704</w:t>
      </w:r>
    </w:p>
    <w:p>
      <w:pPr>
        <w:pStyle w:val="Compact"/>
      </w:pPr>
      <w:r>
        <w:t xml:space="preserve">0.607</w:t>
      </w:r>
    </w:p>
    <w:p>
      <w:pPr>
        <w:pStyle w:val="Compact"/>
      </w:pPr>
      <w:r>
        <w:t xml:space="preserve">0.772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0.092</w:t>
      </w:r>
    </w:p>
    <w:p>
      <w:pPr>
        <w:pStyle w:val="Compact"/>
      </w:pPr>
      <w:r>
        <w:t xml:space="preserve">0.043</w:t>
      </w:r>
    </w:p>
    <w:p>
      <w:pPr>
        <w:pStyle w:val="Compact"/>
      </w:pPr>
      <w:r>
        <w:t xml:space="preserve">0.036</w:t>
      </w:r>
    </w:p>
    <w:p>
      <w:pPr>
        <w:pStyle w:val="Compact"/>
      </w:pPr>
      <w:r>
        <w:t xml:space="preserve">0.032</w:t>
      </w:r>
    </w:p>
    <w:p>
      <w:pPr>
        <w:pStyle w:val="Compact"/>
      </w:pPr>
      <w:r>
        <w:t xml:space="preserve">0.030</w:t>
      </w:r>
    </w:p>
    <w:p>
      <w:pPr>
        <w:pStyle w:val="Compact"/>
      </w:pPr>
      <w:r>
        <w:t xml:space="preserve">0.106</w:t>
      </w:r>
    </w:p>
    <w:p>
      <w:pPr>
        <w:pStyle w:val="Compact"/>
      </w:pPr>
      <w:r>
        <w:t xml:space="preserve">Log Likelihood</w:t>
      </w:r>
    </w:p>
    <w:p>
      <w:pPr>
        <w:pStyle w:val="Compact"/>
      </w:pPr>
      <w:r>
        <w:t xml:space="preserve">-66.600</w:t>
      </w:r>
    </w:p>
    <w:p>
      <w:pPr>
        <w:pStyle w:val="Compact"/>
      </w:pPr>
      <w:r>
        <w:t xml:space="preserve">-71.000</w:t>
      </w:r>
    </w:p>
    <w:p>
      <w:pPr>
        <w:pStyle w:val="Compact"/>
      </w:pPr>
      <w:r>
        <w:t xml:space="preserve">-71.500</w:t>
      </w:r>
    </w:p>
    <w:p>
      <w:pPr>
        <w:pStyle w:val="Compact"/>
      </w:pPr>
      <w:r>
        <w:t xml:space="preserve">-71.800</w:t>
      </w:r>
    </w:p>
    <w:p>
      <w:pPr>
        <w:pStyle w:val="Compact"/>
      </w:pPr>
      <w:r>
        <w:t xml:space="preserve">-72.000</w:t>
      </w:r>
    </w:p>
    <w:p>
      <w:pPr>
        <w:pStyle w:val="Compact"/>
      </w:pPr>
      <w:r>
        <w:t xml:space="preserve">-65.300</w:t>
      </w:r>
    </w:p>
    <w:p>
      <w:pPr>
        <w:pStyle w:val="Compact"/>
      </w:pPr>
      <w:r>
        <w:t xml:space="preserve">Wald Test</w:t>
      </w:r>
    </w:p>
    <w:p>
      <w:pPr>
        <w:pStyle w:val="Compact"/>
      </w:pPr>
      <w:r>
        <w:t xml:space="preserve">16.800</w:t>
      </w:r>
      <w:r>
        <w:t xml:space="preserve">***</w:t>
      </w:r>
    </w:p>
    <w:p>
      <w:pPr>
        <w:pStyle w:val="Compact"/>
      </w:pPr>
      <w:r>
        <w:t xml:space="preserve">9.750</w:t>
      </w:r>
      <w:r>
        <w:t xml:space="preserve">***</w:t>
      </w:r>
    </w:p>
    <w:p>
      <w:pPr>
        <w:pStyle w:val="Compact"/>
      </w:pPr>
      <w:r>
        <w:t xml:space="preserve">9.180</w:t>
      </w:r>
      <w:r>
        <w:t xml:space="preserve">***</w:t>
      </w:r>
    </w:p>
    <w:p>
      <w:pPr>
        <w:pStyle w:val="Compact"/>
      </w:pPr>
      <w:r>
        <w:t xml:space="preserve">7.490</w:t>
      </w:r>
      <w:r>
        <w:t xml:space="preserve">***</w:t>
      </w:r>
    </w:p>
    <w:p>
      <w:pPr>
        <w:pStyle w:val="Compact"/>
      </w:pPr>
      <w:r>
        <w:t xml:space="preserve">6.830</w:t>
      </w:r>
      <w:r>
        <w:t xml:space="preserve">***</w:t>
      </w:r>
    </w:p>
    <w:p>
      <w:pPr>
        <w:pStyle w:val="Compact"/>
      </w:pPr>
      <w:r>
        <w:t xml:space="preserve">19.700</w:t>
      </w:r>
      <w:r>
        <w:t xml:space="preserve">***</w:t>
      </w:r>
    </w:p>
    <w:p>
      <w:pPr>
        <w:pStyle w:val="Compact"/>
      </w:pPr>
      <w:r>
        <w:t xml:space="preserve">LR Test</w:t>
      </w:r>
    </w:p>
    <w:p>
      <w:pPr>
        <w:pStyle w:val="Compact"/>
      </w:pPr>
      <w:r>
        <w:t xml:space="preserve">16.000</w:t>
      </w:r>
      <w:r>
        <w:t xml:space="preserve">***</w:t>
      </w:r>
    </w:p>
    <w:p>
      <w:pPr>
        <w:pStyle w:val="Compact"/>
      </w:pPr>
      <w:r>
        <w:t xml:space="preserve">7.220</w:t>
      </w:r>
      <w:r>
        <w:t xml:space="preserve">***</w:t>
      </w:r>
    </w:p>
    <w:p>
      <w:pPr>
        <w:pStyle w:val="Compact"/>
      </w:pPr>
      <w:r>
        <w:t xml:space="preserve">6.160</w:t>
      </w:r>
      <w:r>
        <w:t xml:space="preserve">**</w:t>
      </w:r>
    </w:p>
    <w:p>
      <w:pPr>
        <w:pStyle w:val="Compact"/>
      </w:pPr>
      <w:r>
        <w:t xml:space="preserve">5.480</w:t>
      </w:r>
      <w:r>
        <w:t xml:space="preserve">**</w:t>
      </w:r>
    </w:p>
    <w:p>
      <w:pPr>
        <w:pStyle w:val="Compact"/>
      </w:pPr>
      <w:r>
        <w:t xml:space="preserve">5.060</w:t>
      </w:r>
      <w:r>
        <w:t xml:space="preserve">**</w:t>
      </w:r>
    </w:p>
    <w:p>
      <w:pPr>
        <w:pStyle w:val="Compact"/>
      </w:pPr>
      <w:r>
        <w:t xml:space="preserve">18.600</w:t>
      </w:r>
      <w:r>
        <w:t xml:space="preserve">***</w:t>
      </w:r>
    </w:p>
    <w:p>
      <w:pPr>
        <w:pStyle w:val="Compact"/>
      </w:pPr>
      <w:r>
        <w:t xml:space="preserve">Score (Logrank) Test</w:t>
      </w:r>
    </w:p>
    <w:p>
      <w:pPr>
        <w:pStyle w:val="Compact"/>
      </w:pPr>
      <w:r>
        <w:t xml:space="preserve">30.200</w:t>
      </w:r>
      <w:r>
        <w:t xml:space="preserve">***</w:t>
      </w:r>
    </w:p>
    <w:p>
      <w:pPr>
        <w:pStyle w:val="Compact"/>
      </w:pPr>
      <w:r>
        <w:t xml:space="preserve">15.800</w:t>
      </w:r>
      <w:r>
        <w:t xml:space="preserve">***</w:t>
      </w:r>
    </w:p>
    <w:p>
      <w:pPr>
        <w:pStyle w:val="Compact"/>
      </w:pPr>
      <w:r>
        <w:t xml:space="preserve">15.400</w:t>
      </w:r>
      <w:r>
        <w:t xml:space="preserve">***</w:t>
      </w:r>
    </w:p>
    <w:p>
      <w:pPr>
        <w:pStyle w:val="Compact"/>
      </w:pPr>
      <w:r>
        <w:t xml:space="preserve">9.590</w:t>
      </w:r>
      <w:r>
        <w:t xml:space="preserve">***</w:t>
      </w:r>
    </w:p>
    <w:p>
      <w:pPr>
        <w:pStyle w:val="Compact"/>
      </w:pPr>
      <w:r>
        <w:t xml:space="preserve">8.240</w:t>
      </w:r>
      <w:r>
        <w:t xml:space="preserve">***</w:t>
      </w:r>
    </w:p>
    <w:p>
      <w:pPr>
        <w:pStyle w:val="Compact"/>
      </w:pPr>
      <w:r>
        <w:t xml:space="preserve">31.200</w:t>
      </w:r>
      <w:r>
        <w:t xml:space="preserve">***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Heading1"/>
      </w:pPr>
      <w:bookmarkStart w:id="27" w:name="figures"/>
      <w:r>
        <w:t xml:space="preserve">Figures</w:t>
      </w:r>
      <w:bookmarkEnd w:id="2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(#fig:survival.cox.ichor.cut.plot1)Cox propotional hazard models based on ichorCNA as a predictor" title="" id="1" name="Picture"/>
            <a:graphic>
              <a:graphicData uri="http://schemas.openxmlformats.org/drawingml/2006/picture">
                <pic:pic>
                  <pic:nvPicPr>
                    <pic:cNvPr descr="detect.her2.manuscript_files/figure-docx/survival.cox.ichor.c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(#fig:survival.cox.ichor.cut.plot2)Cox propotional hazard models based on ichorCNA as a predictor" title="" id="1" name="Picture"/>
            <a:graphic>
              <a:graphicData uri="http://schemas.openxmlformats.org/drawingml/2006/picture">
                <pic:pic>
                  <pic:nvPicPr>
                    <pic:cNvPr descr="detect.her2.manuscript_files/figure-docx/survival.cox.ichor.cut.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(#fig:survival.AG.ichor.cont.plot)Time-dependent Cox regression using ichorCNA as a predictor" title="" id="1" name="Picture"/>
            <a:graphic>
              <a:graphicData uri="http://schemas.openxmlformats.org/drawingml/2006/picture">
                <pic:pic>
                  <pic:nvPicPr>
                    <pic:cNvPr descr="detect.her2.manuscript_files/figure-docx/survival.AG.ichor.con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(#fig:survival.AG.ichor.cont.plot)Time-dependent Cox regression using ichorCNA as a predictor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(#fig:survival.AG.ichor.cut.plot)Optimal thresholding of a time-dependent Cox regression using ichorCNA as a predictor" title="" id="1" name="Picture"/>
            <a:graphic>
              <a:graphicData uri="http://schemas.openxmlformats.org/drawingml/2006/picture">
                <pic:pic>
                  <pic:nvPicPr>
                    <pic:cNvPr descr="detect.her2.manuscript_files/figure-docx/survival.AG.ichor.c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(#fig:survival.AG.ichor.cut.plot)Optimal thresholding of a time-dependent Cox regression using ichorCNA as a predictor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(#fig:boundaries.overview.plot)Overview of treatment boundaries within DETECT Her2+ve cohort" title="" id="1" name="Picture"/>
            <a:graphic>
              <a:graphicData uri="http://schemas.openxmlformats.org/drawingml/2006/picture">
                <pic:pic>
                  <pic:nvPicPr>
                    <pic:cNvPr descr="detect.her2.manuscript_files/figure-docx/boundaries.overvie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(#fig:boundaries.overview.plot)Overview of treatment boundaries within DETECT Her2+ve cohort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tect.her2.manuscript_files/figure-docx/distance.1st_nth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tect.her2.manuscript_files/figure-docx/casestudy.circus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tect.her2.manuscript_files/figure-docx/casestudy.timeline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tect.her2.manuscript_files/figure-docx/metabric.overvie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tect.her2.manuscript_files/figure-docx/metabric.drivers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tect.her2.manuscript_files/figure-docx/metabric.gwas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treatment response using shallow whole genome sequencing of cell-free DNA using in patients with metastatic Her2+ve breast cancer.</dc:title>
  <dc:creator>Alistair Martin and Emma Beddowes and Mario Ortega Duran and others and Carlos Caldas</dc:creator>
  <cp:keywords/>
  <dcterms:created xsi:type="dcterms:W3CDTF">2019-05-28T12:50:07Z</dcterms:created>
  <dcterms:modified xsi:type="dcterms:W3CDTF">2019-05-28T12:50:07Z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May, 2019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