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F1058"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5DF0CD17" wp14:editId="79F8D899">
            <wp:simplePos x="0" y="0"/>
            <wp:positionH relativeFrom="page">
              <wp:posOffset>11010900</wp:posOffset>
            </wp:positionH>
            <wp:positionV relativeFrom="topMargin">
              <wp:posOffset>11544300</wp:posOffset>
            </wp:positionV>
            <wp:extent cx="393700" cy="304800"/>
            <wp:effectExtent l="0" t="0" r="0" b="0"/>
            <wp:wrapNone/>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8"/>
                    <a:stretch>
                      <a:fillRect/>
                    </a:stretch>
                  </pic:blipFill>
                  <pic:spPr>
                    <a:xfrm>
                      <a:off x="0" y="0"/>
                      <a:ext cx="393700" cy="304800"/>
                    </a:xfrm>
                    <a:prstGeom prst="rect">
                      <a:avLst/>
                    </a:prstGeom>
                  </pic:spPr>
                </pic:pic>
              </a:graphicData>
            </a:graphic>
          </wp:anchor>
        </w:drawing>
      </w:r>
      <w:r>
        <w:rPr>
          <w:rFonts w:eastAsia="Times New Roman" w:cs="Times New Roman"/>
          <w:b/>
          <w:sz w:val="32"/>
        </w:rPr>
        <w:t>2024年普通高等学校招生全国统一考试（全国甲卷）</w:t>
      </w:r>
    </w:p>
    <w:p w14:paraId="656DB3BD" w14:textId="77777777" w:rsidR="00E470ED" w:rsidRDefault="00E470ED">
      <w:pPr>
        <w:spacing w:line="360" w:lineRule="auto"/>
        <w:jc w:val="center"/>
        <w:textAlignment w:val="center"/>
        <w:rPr>
          <w:rFonts w:eastAsiaTheme="minorEastAsia" w:cs="Times New Roman"/>
          <w:b/>
          <w:sz w:val="32"/>
        </w:rPr>
      </w:pPr>
    </w:p>
    <w:p w14:paraId="649BE2C3" w14:textId="7CF53135" w:rsidR="009905EB" w:rsidRDefault="00000000">
      <w:pPr>
        <w:spacing w:line="360" w:lineRule="auto"/>
        <w:jc w:val="center"/>
        <w:textAlignment w:val="center"/>
        <w:rPr>
          <w:color w:val="000000"/>
        </w:rPr>
      </w:pPr>
      <w:r>
        <w:rPr>
          <w:rFonts w:eastAsia="Times New Roman" w:cs="Times New Roman"/>
          <w:b/>
          <w:color w:val="000000"/>
          <w:sz w:val="24"/>
        </w:rPr>
        <w:t>C</w:t>
      </w:r>
    </w:p>
    <w:p w14:paraId="4B573419" w14:textId="77777777" w:rsidR="009905EB" w:rsidRDefault="00000000">
      <w:pPr>
        <w:spacing w:line="360" w:lineRule="auto"/>
        <w:ind w:firstLine="420"/>
        <w:textAlignment w:val="center"/>
        <w:rPr>
          <w:color w:val="000000"/>
        </w:rPr>
      </w:pPr>
      <w:r>
        <w:rPr>
          <w:rFonts w:eastAsia="Times New Roman" w:cs="Times New Roman"/>
          <w:color w:val="000000"/>
        </w:rPr>
        <w:t>The Saint Lukas train doesn’t accept passengers — it accepts only the sick. The Saint Lukas is one of five government-sponsored medical trains that travel to remote towns in central and eastern Russia. Each stop lasts an average of two days, and during that time the doctors and nurses on board provide</w:t>
      </w:r>
      <w:r>
        <w:rPr>
          <w:color w:val="000000"/>
        </w:rPr>
        <w:t xml:space="preserve"> rural (</w:t>
      </w:r>
      <w:r>
        <w:rPr>
          <w:color w:val="000000"/>
        </w:rPr>
        <w:t>乡村</w:t>
      </w:r>
      <w:r>
        <w:rPr>
          <w:color w:val="000000"/>
        </w:rPr>
        <w:t>) popula</w:t>
      </w:r>
      <w:r>
        <w:rPr>
          <w:rFonts w:eastAsia="Times New Roman" w:cs="Times New Roman"/>
          <w:color w:val="000000"/>
        </w:rPr>
        <w:t xml:space="preserve">tions with basic medical care, X-ray scans and prescriptions. </w:t>
      </w:r>
    </w:p>
    <w:p w14:paraId="6B767414" w14:textId="77777777" w:rsidR="009905EB" w:rsidRDefault="00000000">
      <w:pPr>
        <w:spacing w:line="360" w:lineRule="auto"/>
        <w:ind w:firstLine="420"/>
        <w:textAlignment w:val="center"/>
        <w:rPr>
          <w:color w:val="000000"/>
        </w:rPr>
      </w:pPr>
      <w:r>
        <w:rPr>
          <w:rFonts w:eastAsia="Times New Roman" w:cs="Times New Roman"/>
          <w:color w:val="000000"/>
        </w:rPr>
        <w:t>“People started queuing to make an appointment early in the morning,” says Emile Ducke, a German photographer who traveled with the staff of the Saint Lukas for a two-week trip in November t</w:t>
      </w:r>
      <w:r>
        <w:rPr>
          <w:color w:val="000000"/>
        </w:rPr>
        <w:t>hrough the vast regions (</w:t>
      </w:r>
      <w:r>
        <w:rPr>
          <w:color w:val="000000"/>
        </w:rPr>
        <w:t>区域</w:t>
      </w:r>
      <w:r>
        <w:rPr>
          <w:color w:val="000000"/>
        </w:rPr>
        <w:t xml:space="preserve">) of Krasnoyarsk and Khakassia. </w:t>
      </w:r>
    </w:p>
    <w:p w14:paraId="3A500AAB" w14:textId="77777777" w:rsidR="009905EB" w:rsidRDefault="00000000">
      <w:pPr>
        <w:spacing w:line="360" w:lineRule="auto"/>
        <w:ind w:firstLine="420"/>
        <w:textAlignment w:val="center"/>
        <w:rPr>
          <w:color w:val="000000"/>
        </w:rPr>
      </w:pPr>
      <w:r>
        <w:rPr>
          <w:color w:val="000000"/>
        </w:rPr>
        <w:t xml:space="preserve">Russia’s public health care service has been in serious need of modernization. The government has struggled to come up with measures to address the problem, particularly in the poorer, rural areas east of the Volga River, including arranging doctor’s appointments by video chat and expanding financial aid programs to motivate doctors to practice medicine in remote parts of the country like Krasnoyarsk. </w:t>
      </w:r>
    </w:p>
    <w:p w14:paraId="2BB60F13" w14:textId="77777777" w:rsidR="009905EB" w:rsidRDefault="00000000">
      <w:pPr>
        <w:spacing w:line="360" w:lineRule="auto"/>
        <w:ind w:firstLine="420"/>
        <w:textAlignment w:val="center"/>
        <w:rPr>
          <w:color w:val="000000"/>
        </w:rPr>
      </w:pPr>
      <w:r>
        <w:rPr>
          <w:color w:val="000000"/>
        </w:rPr>
        <w:t>The annual arrival of the Saint Lukas is another attempt to improve the situation. For 10 months every year, the train stops at about eight stations over two weeks, before returning to the regional capital to refuel and restock (</w:t>
      </w:r>
      <w:r>
        <w:rPr>
          <w:color w:val="000000"/>
        </w:rPr>
        <w:t>补给</w:t>
      </w:r>
      <w:r>
        <w:rPr>
          <w:color w:val="000000"/>
        </w:rPr>
        <w:t>). Then</w:t>
      </w:r>
      <w:r>
        <w:rPr>
          <w:rFonts w:eastAsia="Times New Roman" w:cs="Times New Roman"/>
          <w:color w:val="000000"/>
        </w:rPr>
        <w:t xml:space="preserve"> it starts all over again the next month. Most stations wait about a year between visits. </w:t>
      </w:r>
    </w:p>
    <w:p w14:paraId="026D144A" w14:textId="77777777" w:rsidR="009905EB" w:rsidRDefault="00000000">
      <w:pPr>
        <w:spacing w:line="360" w:lineRule="auto"/>
        <w:ind w:firstLine="420"/>
        <w:textAlignment w:val="center"/>
        <w:rPr>
          <w:color w:val="000000"/>
        </w:rPr>
      </w:pPr>
      <w:r>
        <w:rPr>
          <w:rFonts w:eastAsia="Times New Roman" w:cs="Times New Roman"/>
          <w:color w:val="000000"/>
        </w:rPr>
        <w:t>Doctors see up to 150 patients every day. The train’s equipment allows for basic checkups. “I was very impressed by the doctors and their assistants working and living in such little space but still staying focused and very concerned,” says Ducke. “They were the best chance for many rural people to get the treatment they want. ”</w:t>
      </w:r>
    </w:p>
    <w:p w14:paraId="4791515F" w14:textId="77777777" w:rsidR="00E470ED" w:rsidRDefault="00E470ED">
      <w:pPr>
        <w:spacing w:line="360" w:lineRule="auto"/>
        <w:jc w:val="center"/>
        <w:textAlignment w:val="center"/>
        <w:rPr>
          <w:color w:val="000000"/>
        </w:rPr>
      </w:pPr>
    </w:p>
    <w:p w14:paraId="63D59173" w14:textId="77777777" w:rsidR="00E470ED" w:rsidRDefault="00E470ED">
      <w:pPr>
        <w:spacing w:line="360" w:lineRule="auto"/>
        <w:jc w:val="center"/>
        <w:textAlignment w:val="center"/>
        <w:rPr>
          <w:color w:val="000000"/>
        </w:rPr>
      </w:pPr>
    </w:p>
    <w:p w14:paraId="2C7B5B96" w14:textId="77777777" w:rsidR="00E470ED" w:rsidRDefault="00E470ED">
      <w:pPr>
        <w:spacing w:line="360" w:lineRule="auto"/>
        <w:jc w:val="center"/>
        <w:textAlignment w:val="center"/>
        <w:rPr>
          <w:color w:val="000000"/>
        </w:rPr>
      </w:pPr>
    </w:p>
    <w:p w14:paraId="168AE6EB" w14:textId="77777777" w:rsidR="00E470ED" w:rsidRDefault="00E470ED">
      <w:pPr>
        <w:spacing w:line="360" w:lineRule="auto"/>
        <w:jc w:val="center"/>
        <w:textAlignment w:val="center"/>
        <w:rPr>
          <w:color w:val="000000"/>
        </w:rPr>
      </w:pPr>
    </w:p>
    <w:p w14:paraId="14D5281C" w14:textId="13755001" w:rsidR="009905EB" w:rsidRDefault="00000000">
      <w:pPr>
        <w:spacing w:line="360" w:lineRule="auto"/>
        <w:jc w:val="center"/>
        <w:textAlignment w:val="center"/>
        <w:rPr>
          <w:color w:val="000000"/>
        </w:rPr>
      </w:pPr>
      <w:r>
        <w:rPr>
          <w:rFonts w:eastAsia="Times New Roman" w:cs="Times New Roman"/>
          <w:b/>
          <w:color w:val="000000"/>
          <w:sz w:val="24"/>
        </w:rPr>
        <w:t>D</w:t>
      </w:r>
    </w:p>
    <w:p w14:paraId="507082A0" w14:textId="77777777" w:rsidR="009905EB" w:rsidRDefault="00000000">
      <w:pPr>
        <w:spacing w:line="360" w:lineRule="auto"/>
        <w:ind w:firstLine="420"/>
        <w:textAlignment w:val="center"/>
        <w:rPr>
          <w:color w:val="000000"/>
        </w:rPr>
      </w:pPr>
      <w:r>
        <w:rPr>
          <w:rFonts w:eastAsia="Times New Roman" w:cs="Times New Roman"/>
          <w:color w:val="000000"/>
        </w:rPr>
        <w:t xml:space="preserve">“I didn’t like the ending,” I said to my favorite college professor. It was my junior year of undergraduate, and I was doing an independent study on Victorian literature. I had just finished reading The Mill on the Floss by George Eliot, and I was heartbroken with the ending. Prof. Gracie, with all his patience, asked me to think about it beyond whether I liked it or not. He suggested I think about the difference between endings that I wanted for the characters and endings that were right for the characters, endings that satisfied the story even if they didn’t have a traditionally </w:t>
      </w:r>
      <w:r>
        <w:rPr>
          <w:rFonts w:eastAsia="Times New Roman" w:cs="Times New Roman"/>
          <w:color w:val="000000"/>
        </w:rPr>
        <w:lastRenderedPageBreak/>
        <w:t xml:space="preserve">positive outcome. Of course, I would have preferred a different ending for Tom and Maggie Tulliver, but the ending they got did make the most sense for them. </w:t>
      </w:r>
    </w:p>
    <w:p w14:paraId="075026C5" w14:textId="77777777" w:rsidR="009905EB" w:rsidRDefault="00000000">
      <w:pPr>
        <w:spacing w:line="360" w:lineRule="auto"/>
        <w:ind w:firstLine="420"/>
        <w:textAlignment w:val="center"/>
        <w:rPr>
          <w:color w:val="000000"/>
        </w:rPr>
      </w:pPr>
      <w:r>
        <w:rPr>
          <w:rFonts w:eastAsia="Times New Roman" w:cs="Times New Roman"/>
          <w:color w:val="000000"/>
        </w:rPr>
        <w:t>This was an aha moment for me, and I never thought about endings the same way again. From then on, if I wanted to read an ending guaranteed to be happy, I’d pick up a love romance. If I wanted an ending I couldn’t guess, I’d pick up a mystery (</w:t>
      </w:r>
      <w:r>
        <w:rPr>
          <w:rFonts w:ascii="SimSun" w:hAnsi="SimSun"/>
          <w:color w:val="000000"/>
        </w:rPr>
        <w:t>悬疑小说</w:t>
      </w:r>
      <w:r>
        <w:rPr>
          <w:rFonts w:eastAsia="Times New Roman" w:cs="Times New Roman"/>
          <w:color w:val="000000"/>
        </w:rPr>
        <w:t xml:space="preserve">). One where I kind of knew what was going to happen, historical fiction. Choosing what to read became easier. </w:t>
      </w:r>
    </w:p>
    <w:p w14:paraId="28EC0399" w14:textId="77777777" w:rsidR="009905EB" w:rsidRDefault="00000000">
      <w:pPr>
        <w:spacing w:line="360" w:lineRule="auto"/>
        <w:ind w:firstLine="420"/>
        <w:textAlignment w:val="center"/>
        <w:rPr>
          <w:color w:val="000000"/>
        </w:rPr>
      </w:pPr>
      <w:r>
        <w:rPr>
          <w:rFonts w:eastAsia="Times New Roman" w:cs="Times New Roman"/>
          <w:color w:val="000000"/>
        </w:rPr>
        <w:t xml:space="preserve">But writing the end — that’s hard. It’s hard for writers because endings carry so much weight with readers. You have to balance creating an ending that's unpredictable, but doesn’t seem to come from nowhere, one that fits what’s right for the characters. </w:t>
      </w:r>
    </w:p>
    <w:p w14:paraId="0152C89F" w14:textId="77777777" w:rsidR="009905EB" w:rsidRDefault="00000000">
      <w:pPr>
        <w:spacing w:line="360" w:lineRule="auto"/>
        <w:ind w:firstLine="420"/>
        <w:textAlignment w:val="center"/>
        <w:rPr>
          <w:color w:val="000000"/>
        </w:rPr>
      </w:pPr>
      <w:r>
        <w:rPr>
          <w:rFonts w:eastAsia="Times New Roman" w:cs="Times New Roman"/>
          <w:color w:val="000000"/>
        </w:rPr>
        <w:t>That’s why this issue (</w:t>
      </w:r>
      <w:r>
        <w:rPr>
          <w:rFonts w:ascii="SimSun" w:hAnsi="SimSun"/>
          <w:color w:val="000000"/>
        </w:rPr>
        <w:t>期</w:t>
      </w:r>
      <w:r>
        <w:rPr>
          <w:rFonts w:eastAsia="Times New Roman" w:cs="Times New Roman"/>
          <w:color w:val="000000"/>
        </w:rPr>
        <w:t xml:space="preserve">) of Writer’s Digest aims to help you figure out how to write the best ending for whatever kind of writing you’re doing. If it’s short stories, Peter Mountford breaks down six techniques you can try to see which one helps you stick the landing. Elizabeth Sims analyzes the final chapters of five great novels to see what key points they include and how you can adapt them for your work. </w:t>
      </w:r>
    </w:p>
    <w:p w14:paraId="5FE72C8A" w14:textId="77777777" w:rsidR="009905EB" w:rsidRDefault="00000000">
      <w:pPr>
        <w:spacing w:line="360" w:lineRule="auto"/>
        <w:ind w:firstLine="420"/>
        <w:textAlignment w:val="center"/>
        <w:rPr>
          <w:color w:val="000000"/>
        </w:rPr>
      </w:pPr>
      <w:r>
        <w:rPr>
          <w:rFonts w:eastAsia="Times New Roman" w:cs="Times New Roman"/>
          <w:color w:val="000000"/>
        </w:rPr>
        <w:t>This issue won’t tell you what your ending should be — that’s up to you and the story you’re telling — but it might provide what you need to get there.</w:t>
      </w:r>
    </w:p>
    <w:p w14:paraId="64B063C8" w14:textId="69C993D2" w:rsidR="009905EB" w:rsidRDefault="009905EB">
      <w:pPr>
        <w:spacing w:line="360" w:lineRule="auto"/>
        <w:textAlignment w:val="center"/>
        <w:rPr>
          <w:color w:val="000000"/>
        </w:rPr>
      </w:pPr>
    </w:p>
    <w:p w14:paraId="1D288CE5" w14:textId="77777777" w:rsidR="00E470ED" w:rsidRDefault="00E470ED">
      <w:pPr>
        <w:spacing w:line="360" w:lineRule="auto"/>
        <w:textAlignment w:val="center"/>
        <w:rPr>
          <w:color w:val="000000"/>
        </w:rPr>
      </w:pPr>
    </w:p>
    <w:p w14:paraId="3F410391" w14:textId="77777777" w:rsidR="00E470ED" w:rsidRDefault="00E470ED">
      <w:pPr>
        <w:spacing w:line="360" w:lineRule="auto"/>
        <w:textAlignment w:val="center"/>
        <w:rPr>
          <w:color w:val="000000"/>
        </w:rPr>
      </w:pPr>
    </w:p>
    <w:p w14:paraId="7FE7AD3E" w14:textId="77777777" w:rsidR="00E470ED" w:rsidRDefault="00E470ED">
      <w:pPr>
        <w:spacing w:line="360" w:lineRule="auto"/>
        <w:textAlignment w:val="center"/>
        <w:rPr>
          <w:color w:val="000000"/>
        </w:rPr>
      </w:pPr>
    </w:p>
    <w:p w14:paraId="49314719" w14:textId="77777777" w:rsidR="00E470ED" w:rsidRDefault="00E470ED">
      <w:pPr>
        <w:spacing w:line="360" w:lineRule="auto"/>
        <w:textAlignment w:val="center"/>
        <w:rPr>
          <w:color w:val="000000"/>
        </w:rPr>
      </w:pPr>
    </w:p>
    <w:p w14:paraId="3761F7BD" w14:textId="77777777" w:rsidR="00E470ED" w:rsidRDefault="00E470ED">
      <w:pPr>
        <w:spacing w:line="360" w:lineRule="auto"/>
        <w:textAlignment w:val="center"/>
        <w:rPr>
          <w:color w:val="000000"/>
        </w:rPr>
      </w:pPr>
    </w:p>
    <w:p w14:paraId="2A56AB0B" w14:textId="77777777" w:rsidR="00E470ED" w:rsidRDefault="00E470ED">
      <w:pPr>
        <w:spacing w:line="360" w:lineRule="auto"/>
        <w:textAlignment w:val="center"/>
        <w:rPr>
          <w:color w:val="000000"/>
        </w:rPr>
      </w:pPr>
    </w:p>
    <w:sectPr w:rsidR="00E470ED" w:rsidSect="00C321EB">
      <w:footerReference w:type="default" r:id="rId9"/>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9EAAF" w14:textId="77777777" w:rsidR="00997DDE" w:rsidRDefault="00997DDE">
      <w:r>
        <w:separator/>
      </w:r>
    </w:p>
  </w:endnote>
  <w:endnote w:type="continuationSeparator" w:id="0">
    <w:p w14:paraId="169D5300" w14:textId="77777777" w:rsidR="00997DDE" w:rsidRDefault="00997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DE0D7"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4B77752B" w14:textId="77777777" w:rsidR="0090278E" w:rsidRDefault="0090278E">
    <w:pPr>
      <w:pStyle w:val="Footer"/>
    </w:pPr>
  </w:p>
  <w:p w14:paraId="40D6BD06"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4FF4E0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3"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004767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4" type="#_x0000_t75" alt="学科网 zxxk.com" style="position:absolute;margin-left:64.05pt;margin-top:-20.75pt;width:.05pt;height:.05pt;z-index:251659264">
          <v:imagedata r:id="rId1" o:title="{75232B38-A165-1FB7-499C-2E1C792CACB5}"/>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6165A" w14:textId="77777777" w:rsidR="00997DDE" w:rsidRDefault="00997DDE">
      <w:r>
        <w:separator/>
      </w:r>
    </w:p>
  </w:footnote>
  <w:footnote w:type="continuationSeparator" w:id="0">
    <w:p w14:paraId="666EAEA8" w14:textId="77777777" w:rsidR="00997DDE" w:rsidRDefault="00997D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B2644EB6">
      <w:start w:val="1"/>
      <w:numFmt w:val="bullet"/>
      <w:lvlText w:val=""/>
      <w:lvlJc w:val="left"/>
      <w:pPr>
        <w:ind w:left="420" w:hanging="420"/>
      </w:pPr>
      <w:rPr>
        <w:rFonts w:ascii="Wingdings" w:hAnsi="Wingdings" w:hint="default"/>
      </w:rPr>
    </w:lvl>
    <w:lvl w:ilvl="1" w:tplc="0B3440EC" w:tentative="1">
      <w:start w:val="1"/>
      <w:numFmt w:val="bullet"/>
      <w:lvlText w:val=""/>
      <w:lvlJc w:val="left"/>
      <w:pPr>
        <w:ind w:left="840" w:hanging="420"/>
      </w:pPr>
      <w:rPr>
        <w:rFonts w:ascii="Wingdings" w:hAnsi="Wingdings" w:hint="default"/>
      </w:rPr>
    </w:lvl>
    <w:lvl w:ilvl="2" w:tplc="33246324" w:tentative="1">
      <w:start w:val="1"/>
      <w:numFmt w:val="bullet"/>
      <w:lvlText w:val=""/>
      <w:lvlJc w:val="left"/>
      <w:pPr>
        <w:ind w:left="1260" w:hanging="420"/>
      </w:pPr>
      <w:rPr>
        <w:rFonts w:ascii="Wingdings" w:hAnsi="Wingdings" w:hint="default"/>
      </w:rPr>
    </w:lvl>
    <w:lvl w:ilvl="3" w:tplc="DDB61C7E" w:tentative="1">
      <w:start w:val="1"/>
      <w:numFmt w:val="bullet"/>
      <w:lvlText w:val=""/>
      <w:lvlJc w:val="left"/>
      <w:pPr>
        <w:ind w:left="1680" w:hanging="420"/>
      </w:pPr>
      <w:rPr>
        <w:rFonts w:ascii="Wingdings" w:hAnsi="Wingdings" w:hint="default"/>
      </w:rPr>
    </w:lvl>
    <w:lvl w:ilvl="4" w:tplc="7BA27042" w:tentative="1">
      <w:start w:val="1"/>
      <w:numFmt w:val="bullet"/>
      <w:lvlText w:val=""/>
      <w:lvlJc w:val="left"/>
      <w:pPr>
        <w:ind w:left="2100" w:hanging="420"/>
      </w:pPr>
      <w:rPr>
        <w:rFonts w:ascii="Wingdings" w:hAnsi="Wingdings" w:hint="default"/>
      </w:rPr>
    </w:lvl>
    <w:lvl w:ilvl="5" w:tplc="222078E2" w:tentative="1">
      <w:start w:val="1"/>
      <w:numFmt w:val="bullet"/>
      <w:lvlText w:val=""/>
      <w:lvlJc w:val="left"/>
      <w:pPr>
        <w:ind w:left="2520" w:hanging="420"/>
      </w:pPr>
      <w:rPr>
        <w:rFonts w:ascii="Wingdings" w:hAnsi="Wingdings" w:hint="default"/>
      </w:rPr>
    </w:lvl>
    <w:lvl w:ilvl="6" w:tplc="0B4E2D16" w:tentative="1">
      <w:start w:val="1"/>
      <w:numFmt w:val="bullet"/>
      <w:lvlText w:val=""/>
      <w:lvlJc w:val="left"/>
      <w:pPr>
        <w:ind w:left="2940" w:hanging="420"/>
      </w:pPr>
      <w:rPr>
        <w:rFonts w:ascii="Wingdings" w:hAnsi="Wingdings" w:hint="default"/>
      </w:rPr>
    </w:lvl>
    <w:lvl w:ilvl="7" w:tplc="FE629292" w:tentative="1">
      <w:start w:val="1"/>
      <w:numFmt w:val="bullet"/>
      <w:lvlText w:val=""/>
      <w:lvlJc w:val="left"/>
      <w:pPr>
        <w:ind w:left="3360" w:hanging="420"/>
      </w:pPr>
      <w:rPr>
        <w:rFonts w:ascii="Wingdings" w:hAnsi="Wingdings" w:hint="default"/>
      </w:rPr>
    </w:lvl>
    <w:lvl w:ilvl="8" w:tplc="58FC1BF0" w:tentative="1">
      <w:start w:val="1"/>
      <w:numFmt w:val="bullet"/>
      <w:lvlText w:val=""/>
      <w:lvlJc w:val="left"/>
      <w:pPr>
        <w:ind w:left="3780" w:hanging="420"/>
      </w:pPr>
      <w:rPr>
        <w:rFonts w:ascii="Wingdings" w:hAnsi="Wingdings" w:hint="default"/>
      </w:rPr>
    </w:lvl>
  </w:abstractNum>
  <w:num w:numId="1" w16cid:durableId="446435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5"/>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B21A4"/>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905EB"/>
    <w:rsid w:val="00997DDE"/>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470ED"/>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o:shapelayout v:ext="edit">
      <o:idmap v:ext="edit" data="2"/>
    </o:shapelayout>
  </w:shapeDefaults>
  <w:decimalSymbol w:val="."/>
  <w:listSeparator w:val=","/>
  <w14:docId w14:val="1A1513BC"/>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basedOn w:val="DefaultParagraphFont"/>
    <w:link w:val="Header"/>
    <w:uiPriority w:val="99"/>
    <w:rsid w:val="003102DB"/>
    <w:rPr>
      <w:kern w:val="2"/>
      <w:sz w:val="18"/>
      <w:szCs w:val="24"/>
    </w:rPr>
  </w:style>
  <w:style w:type="paragraph" w:styleId="NoSpacing">
    <w:name w:val="No Spacing"/>
    <w:uiPriority w:val="1"/>
    <w:qFormat/>
    <w:rsid w:val="003102DB"/>
    <w:rPr>
      <w:rFonts w:asciiTheme="minorHAnsi" w:eastAsia="Microsoft YaHei U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547</Words>
  <Characters>3122</Characters>
  <Application>Microsoft Office Word</Application>
  <DocSecurity>0</DocSecurity>
  <Lines>26</Lines>
  <Paragraphs>7</Paragraphs>
  <ScaleCrop>false</ScaleCrop>
  <Manager>康伟旗舰店 kangwei.tmall.com</Manager>
  <Company>康伟旗舰店 kangwei.tmall.com</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2026-10-01T01:52:00Z</dcterms:created>
  <dcterms:modified xsi:type="dcterms:W3CDTF">2026-10-01T01:52:00Z</dcterms:modified>
  <cp:category>康伟旗舰店 kangwei.tmall.com</cp:category>
</cp:coreProperties>
</file>