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4B4AC" w14:textId="7656A4B5" w:rsidR="00F85614"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3119775B" wp14:editId="3904B67A">
            <wp:simplePos x="0" y="0"/>
            <wp:positionH relativeFrom="page">
              <wp:posOffset>12344400</wp:posOffset>
            </wp:positionH>
            <wp:positionV relativeFrom="topMargin">
              <wp:posOffset>11264900</wp:posOffset>
            </wp:positionV>
            <wp:extent cx="279400" cy="469900"/>
            <wp:effectExtent l="0" t="0" r="0" b="0"/>
            <wp:wrapNone/>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
                    <a:stretch>
                      <a:fillRect/>
                    </a:stretch>
                  </pic:blipFill>
                  <pic:spPr>
                    <a:xfrm>
                      <a:off x="0" y="0"/>
                      <a:ext cx="279400" cy="469900"/>
                    </a:xfrm>
                    <a:prstGeom prst="rect">
                      <a:avLst/>
                    </a:prstGeom>
                  </pic:spPr>
                </pic:pic>
              </a:graphicData>
            </a:graphic>
          </wp:anchor>
        </w:drawing>
      </w:r>
      <w:r>
        <w:rPr>
          <w:rFonts w:eastAsia="Times New Roman" w:cs="Times New Roman"/>
          <w:b/>
          <w:noProof/>
          <w:sz w:val="32"/>
        </w:rPr>
        <w:drawing>
          <wp:anchor distT="0" distB="0" distL="114300" distR="114300" simplePos="0" relativeHeight="251659264" behindDoc="0" locked="0" layoutInCell="1" allowOverlap="1" wp14:anchorId="04D926B0" wp14:editId="19ADE28A">
            <wp:simplePos x="0" y="0"/>
            <wp:positionH relativeFrom="page">
              <wp:posOffset>11239500</wp:posOffset>
            </wp:positionH>
            <wp:positionV relativeFrom="topMargin">
              <wp:posOffset>11252200</wp:posOffset>
            </wp:positionV>
            <wp:extent cx="444500" cy="254000"/>
            <wp:effectExtent l="0" t="0" r="12700" b="508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9"/>
                    <a:stretch>
                      <a:fillRect/>
                    </a:stretch>
                  </pic:blipFill>
                  <pic:spPr>
                    <a:xfrm>
                      <a:off x="0" y="0"/>
                      <a:ext cx="444500" cy="254000"/>
                    </a:xfrm>
                    <a:prstGeom prst="rect">
                      <a:avLst/>
                    </a:prstGeom>
                  </pic:spPr>
                </pic:pic>
              </a:graphicData>
            </a:graphic>
          </wp:anchor>
        </w:drawing>
      </w:r>
      <w:r>
        <w:rPr>
          <w:rFonts w:eastAsia="Times New Roman" w:cs="Times New Roman"/>
          <w:b/>
          <w:sz w:val="32"/>
        </w:rPr>
        <w:t>2024</w:t>
      </w:r>
      <w:r>
        <w:rPr>
          <w:rFonts w:ascii="SimSun" w:hAnsi="SimSun"/>
          <w:b/>
          <w:sz w:val="32"/>
        </w:rPr>
        <w:t>年</w:t>
      </w:r>
      <w:r>
        <w:rPr>
          <w:rFonts w:eastAsia="Times New Roman" w:cs="Times New Roman"/>
          <w:b/>
          <w:sz w:val="32"/>
        </w:rPr>
        <w:t>1</w:t>
      </w:r>
      <w:r>
        <w:rPr>
          <w:rFonts w:ascii="SimSun" w:hAnsi="SimSun"/>
          <w:b/>
          <w:sz w:val="32"/>
        </w:rPr>
        <w:t>月</w:t>
      </w:r>
      <w:r w:rsidR="009D2E67">
        <w:rPr>
          <w:rFonts w:ascii="SimSun" w:hAnsi="SimSun" w:hint="eastAsia"/>
          <w:b/>
          <w:sz w:val="32"/>
        </w:rPr>
        <w:t xml:space="preserve"> 浙江省 </w:t>
      </w:r>
      <w:r>
        <w:rPr>
          <w:rFonts w:ascii="SimSun" w:hAnsi="SimSun"/>
          <w:b/>
          <w:sz w:val="32"/>
        </w:rPr>
        <w:t>普通高等学校招生全国统一考试</w:t>
      </w:r>
    </w:p>
    <w:p w14:paraId="2BEC5EFF" w14:textId="77777777" w:rsidR="009D2E67" w:rsidRDefault="009D2E67">
      <w:pPr>
        <w:spacing w:line="285" w:lineRule="auto"/>
        <w:jc w:val="center"/>
        <w:textAlignment w:val="center"/>
        <w:rPr>
          <w:rFonts w:ascii="SimSun" w:hAnsi="SimSun"/>
          <w:b/>
          <w:sz w:val="32"/>
        </w:rPr>
      </w:pPr>
    </w:p>
    <w:p w14:paraId="2C0B716A" w14:textId="77777777" w:rsidR="009D2E67" w:rsidRDefault="009D2E67">
      <w:pPr>
        <w:spacing w:line="285" w:lineRule="auto"/>
        <w:jc w:val="center"/>
        <w:textAlignment w:val="center"/>
        <w:rPr>
          <w:rFonts w:ascii="SimSun" w:hAnsi="SimSun"/>
          <w:b/>
          <w:sz w:val="32"/>
        </w:rPr>
      </w:pPr>
    </w:p>
    <w:p w14:paraId="0D0981F5" w14:textId="77777777" w:rsidR="009D2E67" w:rsidRDefault="009D2E67">
      <w:pPr>
        <w:spacing w:line="285" w:lineRule="auto"/>
        <w:jc w:val="center"/>
        <w:textAlignment w:val="center"/>
        <w:rPr>
          <w:rFonts w:ascii="SimSun" w:hAnsi="SimSun"/>
          <w:b/>
          <w:sz w:val="32"/>
        </w:rPr>
      </w:pPr>
    </w:p>
    <w:p w14:paraId="53C0F17D" w14:textId="77777777" w:rsidR="009D2E67" w:rsidRDefault="009D2E67">
      <w:pPr>
        <w:spacing w:line="285" w:lineRule="auto"/>
        <w:jc w:val="center"/>
        <w:textAlignment w:val="center"/>
        <w:rPr>
          <w:rFonts w:ascii="SimSun" w:hAnsi="SimSun"/>
          <w:b/>
          <w:sz w:val="32"/>
        </w:rPr>
      </w:pPr>
    </w:p>
    <w:p w14:paraId="4017DF64" w14:textId="40CB5677" w:rsidR="00F85614" w:rsidRDefault="00000000">
      <w:pPr>
        <w:spacing w:line="285" w:lineRule="auto"/>
        <w:jc w:val="center"/>
        <w:textAlignment w:val="center"/>
        <w:rPr>
          <w:color w:val="000000"/>
        </w:rPr>
      </w:pPr>
      <w:r>
        <w:rPr>
          <w:rFonts w:eastAsia="Times New Roman" w:cs="Times New Roman"/>
          <w:b/>
          <w:color w:val="000000"/>
          <w:sz w:val="24"/>
        </w:rPr>
        <w:t>C</w:t>
      </w:r>
    </w:p>
    <w:p w14:paraId="6EE1DCE9" w14:textId="77777777" w:rsidR="00F85614" w:rsidRDefault="00000000">
      <w:pPr>
        <w:spacing w:line="360" w:lineRule="auto"/>
        <w:ind w:firstLine="420"/>
        <w:textAlignment w:val="center"/>
        <w:rPr>
          <w:color w:val="000000"/>
        </w:rPr>
      </w:pPr>
      <w:r>
        <w:rPr>
          <w:rFonts w:eastAsia="Times New Roman" w:cs="Times New Roman"/>
          <w:color w:val="000000"/>
        </w:rPr>
        <w:t>On September 7, 1991, the costliest hailstorm (</w:t>
      </w:r>
      <w:r>
        <w:rPr>
          <w:rFonts w:ascii="Microsoft YaHei" w:eastAsia="Microsoft YaHei" w:hAnsi="Microsoft YaHei" w:cs="Microsoft YaHei"/>
          <w:color w:val="003366"/>
          <w:sz w:val="22"/>
          <w:szCs w:val="22"/>
          <w:shd w:val="clear" w:color="auto" w:fill="F9F9F9"/>
        </w:rPr>
        <w:t>雹暴</w:t>
      </w:r>
      <w:r>
        <w:rPr>
          <w:rFonts w:eastAsia="Times New Roman" w:cs="Times New Roman"/>
          <w:color w:val="000000"/>
        </w:rPr>
        <w:t>) in Canadian history hit Calgary’s southern suburbs. As a result, since 1996 a group of insurance companies have spent about $2million per year on the Alberta Hail Suppression Project. Airplanes seed threatening storm cells with a chemical to make small ice crystals fall as rain before they can grow into dangerous hailstones. But farmers in east-central Alberta — downwind of the hail project flights — worry that precious moisture (</w:t>
      </w:r>
      <w:r>
        <w:rPr>
          <w:rFonts w:ascii="SimSun" w:hAnsi="SimSun"/>
          <w:color w:val="000000"/>
        </w:rPr>
        <w:t>水分</w:t>
      </w:r>
      <w:r>
        <w:rPr>
          <w:rFonts w:eastAsia="Times New Roman" w:cs="Times New Roman"/>
          <w:color w:val="000000"/>
        </w:rPr>
        <w:t xml:space="preserve">) is being stolen from their thirsty land by the cloud seeding. </w:t>
      </w:r>
    </w:p>
    <w:p w14:paraId="69E4D1D3" w14:textId="77777777" w:rsidR="00F85614" w:rsidRDefault="00000000">
      <w:pPr>
        <w:spacing w:line="360" w:lineRule="auto"/>
        <w:ind w:firstLine="420"/>
        <w:textAlignment w:val="center"/>
        <w:rPr>
          <w:color w:val="000000"/>
        </w:rPr>
      </w:pPr>
      <w:r>
        <w:rPr>
          <w:rFonts w:eastAsia="Times New Roman" w:cs="Times New Roman"/>
          <w:color w:val="000000"/>
        </w:rPr>
        <w:t xml:space="preserve">Norman </w:t>
      </w:r>
      <w:proofErr w:type="spellStart"/>
      <w:r>
        <w:rPr>
          <w:rFonts w:eastAsia="Times New Roman" w:cs="Times New Roman"/>
          <w:color w:val="000000"/>
        </w:rPr>
        <w:t>Stienwand</w:t>
      </w:r>
      <w:proofErr w:type="spellEnd"/>
      <w:r>
        <w:rPr>
          <w:rFonts w:eastAsia="Times New Roman" w:cs="Times New Roman"/>
          <w:color w:val="000000"/>
        </w:rPr>
        <w:t xml:space="preserve">, who farms in that area, has been addressing public meetings on this issue for years “Basically, the provincial government is letting the insurance companies protect the Calgary-Edmonton urban area from hail,” Mr. </w:t>
      </w:r>
      <w:proofErr w:type="spellStart"/>
      <w:r>
        <w:rPr>
          <w:rFonts w:eastAsia="Times New Roman" w:cs="Times New Roman"/>
          <w:color w:val="000000"/>
        </w:rPr>
        <w:t>Stienwan</w:t>
      </w:r>
      <w:proofErr w:type="spellEnd"/>
      <w:r>
        <w:rPr>
          <w:rFonts w:eastAsia="Times New Roman" w:cs="Times New Roman"/>
          <w:color w:val="000000"/>
        </w:rPr>
        <w:t xml:space="preserve"> d says, “but they’re increasing drought risk as far east as Saskatchewan.”</w:t>
      </w:r>
    </w:p>
    <w:p w14:paraId="0A527D2C" w14:textId="77777777" w:rsidR="00F85614" w:rsidRDefault="00000000">
      <w:pPr>
        <w:spacing w:line="360" w:lineRule="auto"/>
        <w:ind w:firstLine="420"/>
        <w:textAlignment w:val="center"/>
        <w:rPr>
          <w:color w:val="000000"/>
        </w:rPr>
      </w:pPr>
      <w:r>
        <w:rPr>
          <w:rFonts w:eastAsia="Times New Roman" w:cs="Times New Roman"/>
          <w:color w:val="000000"/>
        </w:rPr>
        <w:t xml:space="preserve">The Alberta hail project is managed by Terry Krauss, a cloud physicist who works for Weather Modification Inc. of Fargo, North Dakota. “We affect only a very small percentage of the total moisture in the air, so we cannot be </w:t>
      </w:r>
      <w:proofErr w:type="spellStart"/>
      <w:r>
        <w:rPr>
          <w:rFonts w:eastAsia="Times New Roman" w:cs="Times New Roman"/>
          <w:color w:val="000000"/>
        </w:rPr>
        <w:t>cousing</w:t>
      </w:r>
      <w:proofErr w:type="spellEnd"/>
      <w:r>
        <w:rPr>
          <w:rFonts w:eastAsia="Times New Roman" w:cs="Times New Roman"/>
          <w:color w:val="000000"/>
        </w:rPr>
        <w:t xml:space="preserve"> drought.” Dr. Krauss says. “In fact, we may be helping increase the moisture downwind by creating wetter ground.”</w:t>
      </w:r>
    </w:p>
    <w:p w14:paraId="1998BB95" w14:textId="77777777" w:rsidR="00F85614" w:rsidRDefault="00000000">
      <w:pPr>
        <w:spacing w:line="360" w:lineRule="auto"/>
        <w:ind w:firstLine="420"/>
        <w:textAlignment w:val="center"/>
        <w:rPr>
          <w:color w:val="000000"/>
        </w:rPr>
      </w:pPr>
      <w:r>
        <w:rPr>
          <w:rFonts w:eastAsia="Times New Roman" w:cs="Times New Roman"/>
          <w:color w:val="000000"/>
        </w:rPr>
        <w:t>One doubter about the safety of cloud seeding is Chuck Doswell, a research scientist who just retired from the University of Oklahoma. “In 1999, I personally saw significant tornadoes (</w:t>
      </w:r>
      <w:r>
        <w:rPr>
          <w:rFonts w:ascii="SimSun" w:hAnsi="SimSun"/>
          <w:color w:val="000000"/>
        </w:rPr>
        <w:t>龙卷风</w:t>
      </w:r>
      <w:r>
        <w:rPr>
          <w:rFonts w:eastAsia="Times New Roman" w:cs="Times New Roman"/>
          <w:color w:val="000000"/>
        </w:rPr>
        <w:t>) form from a seeded storm cell in Kansas,” Dr. Doswell says. “Does cloud seeding create killer storms or reduce moisture downwind? No one really knows, of course, but the seeding goes on.”</w:t>
      </w:r>
    </w:p>
    <w:p w14:paraId="1360F842" w14:textId="77777777" w:rsidR="00F85614" w:rsidRDefault="00000000">
      <w:pPr>
        <w:spacing w:line="360" w:lineRule="auto"/>
        <w:ind w:firstLine="420"/>
        <w:textAlignment w:val="center"/>
        <w:rPr>
          <w:color w:val="000000"/>
        </w:rPr>
      </w:pPr>
      <w:r>
        <w:rPr>
          <w:rFonts w:eastAsia="Times New Roman" w:cs="Times New Roman"/>
          <w:color w:val="000000"/>
        </w:rPr>
        <w:t xml:space="preserve">Given the degree of doubt, Mr. </w:t>
      </w:r>
      <w:proofErr w:type="spellStart"/>
      <w:r>
        <w:rPr>
          <w:rFonts w:eastAsia="Times New Roman" w:cs="Times New Roman"/>
          <w:color w:val="000000"/>
        </w:rPr>
        <w:t>Stienwand</w:t>
      </w:r>
      <w:proofErr w:type="spellEnd"/>
      <w:r>
        <w:rPr>
          <w:rFonts w:eastAsia="Times New Roman" w:cs="Times New Roman"/>
          <w:color w:val="000000"/>
        </w:rPr>
        <w:t xml:space="preserve"> suggests, “it would be wise to stop cloud seeding.” In practice, doubt has had the opposite effect. Due to the lack of scientific proof concerning their impacts, no one has succeeded in winning a lawsuit against cloud-seeding companies. Hence, private climate engineering can proceed in relative legal safety.</w:t>
      </w:r>
    </w:p>
    <w:p w14:paraId="2BFD618F" w14:textId="77777777" w:rsidR="009D2E67" w:rsidRDefault="009D2E67">
      <w:pPr>
        <w:spacing w:line="285" w:lineRule="auto"/>
        <w:jc w:val="center"/>
        <w:textAlignment w:val="center"/>
        <w:rPr>
          <w:color w:val="000000"/>
        </w:rPr>
      </w:pPr>
    </w:p>
    <w:p w14:paraId="0289BB2B" w14:textId="77777777" w:rsidR="009D2E67" w:rsidRDefault="009D2E67">
      <w:pPr>
        <w:spacing w:line="285" w:lineRule="auto"/>
        <w:jc w:val="center"/>
        <w:textAlignment w:val="center"/>
        <w:rPr>
          <w:color w:val="000000"/>
        </w:rPr>
      </w:pPr>
    </w:p>
    <w:p w14:paraId="7A6B181E" w14:textId="77777777" w:rsidR="009D2E67" w:rsidRDefault="009D2E67">
      <w:pPr>
        <w:spacing w:line="285" w:lineRule="auto"/>
        <w:jc w:val="center"/>
        <w:textAlignment w:val="center"/>
        <w:rPr>
          <w:color w:val="000000"/>
        </w:rPr>
      </w:pPr>
    </w:p>
    <w:p w14:paraId="1C875B10" w14:textId="77777777" w:rsidR="009D2E67" w:rsidRDefault="009D2E67">
      <w:pPr>
        <w:spacing w:line="285" w:lineRule="auto"/>
        <w:jc w:val="center"/>
        <w:textAlignment w:val="center"/>
        <w:rPr>
          <w:color w:val="000000"/>
        </w:rPr>
      </w:pPr>
    </w:p>
    <w:p w14:paraId="676BE8CB" w14:textId="77777777" w:rsidR="009D2E67" w:rsidRDefault="009D2E67">
      <w:pPr>
        <w:spacing w:line="285" w:lineRule="auto"/>
        <w:jc w:val="center"/>
        <w:textAlignment w:val="center"/>
        <w:rPr>
          <w:color w:val="000000"/>
        </w:rPr>
      </w:pPr>
    </w:p>
    <w:p w14:paraId="5F39A136" w14:textId="77777777" w:rsidR="009D2E67" w:rsidRDefault="009D2E67">
      <w:pPr>
        <w:spacing w:line="285" w:lineRule="auto"/>
        <w:jc w:val="center"/>
        <w:textAlignment w:val="center"/>
        <w:rPr>
          <w:color w:val="000000"/>
        </w:rPr>
      </w:pPr>
    </w:p>
    <w:p w14:paraId="66CB7EC7" w14:textId="31CEA26B" w:rsidR="00F85614" w:rsidRDefault="00000000">
      <w:pPr>
        <w:spacing w:line="285" w:lineRule="auto"/>
        <w:jc w:val="center"/>
        <w:textAlignment w:val="center"/>
        <w:rPr>
          <w:color w:val="000000"/>
        </w:rPr>
      </w:pPr>
      <w:r>
        <w:rPr>
          <w:rFonts w:eastAsia="Times New Roman" w:cs="Times New Roman"/>
          <w:b/>
          <w:color w:val="000000"/>
          <w:sz w:val="24"/>
        </w:rPr>
        <w:t>D</w:t>
      </w:r>
    </w:p>
    <w:p w14:paraId="27CB7A27" w14:textId="77777777" w:rsidR="00F85614" w:rsidRDefault="00000000">
      <w:pPr>
        <w:spacing w:line="360" w:lineRule="auto"/>
        <w:ind w:firstLine="420"/>
        <w:textAlignment w:val="center"/>
        <w:rPr>
          <w:color w:val="000000"/>
        </w:rPr>
      </w:pPr>
      <w:r>
        <w:rPr>
          <w:rFonts w:eastAsia="Times New Roman" w:cs="Times New Roman"/>
          <w:color w:val="000000"/>
        </w:rPr>
        <w:t>The Stanford marshmallow (</w:t>
      </w:r>
      <w:r>
        <w:rPr>
          <w:rFonts w:ascii="SimSun" w:hAnsi="SimSun"/>
          <w:color w:val="000000"/>
        </w:rPr>
        <w:t>棉花糖</w:t>
      </w:r>
      <w:r>
        <w:rPr>
          <w:rFonts w:eastAsia="Times New Roman" w:cs="Times New Roman"/>
          <w:color w:val="000000"/>
        </w:rPr>
        <w:t xml:space="preserve">) test was originally conducted by psychologist Walter </w:t>
      </w:r>
      <w:proofErr w:type="spellStart"/>
      <w:r>
        <w:rPr>
          <w:rFonts w:eastAsia="Times New Roman" w:cs="Times New Roman"/>
          <w:color w:val="000000"/>
        </w:rPr>
        <w:t>Mischel</w:t>
      </w:r>
      <w:proofErr w:type="spellEnd"/>
      <w:r>
        <w:rPr>
          <w:rFonts w:eastAsia="Times New Roman" w:cs="Times New Roman"/>
          <w:color w:val="000000"/>
        </w:rPr>
        <w:t xml:space="preserve"> in the late 1960s. Children aged four to six at a nursery school were placed in a room. A single sugary treat, selected by the child, was placed on a table. Each child was told if they waited for 15 minutes before eating the treat, they would be given a second treat. Then they were left alone in the room. Follow-up studies with the children later in life showed a connect ion between an ability to wait long enough to obtain a second treat and various forms of success. </w:t>
      </w:r>
    </w:p>
    <w:p w14:paraId="4419E630" w14:textId="77777777" w:rsidR="00F85614" w:rsidRDefault="00000000">
      <w:pPr>
        <w:spacing w:line="360" w:lineRule="auto"/>
        <w:ind w:firstLine="420"/>
        <w:textAlignment w:val="center"/>
        <w:rPr>
          <w:color w:val="000000"/>
        </w:rPr>
      </w:pPr>
      <w:r>
        <w:rPr>
          <w:rFonts w:eastAsia="Times New Roman" w:cs="Times New Roman"/>
          <w:color w:val="000000"/>
        </w:rPr>
        <w:t>As adults we face a version of the marshmallow test every day. We’ re not tempted (</w:t>
      </w:r>
      <w:r>
        <w:rPr>
          <w:rFonts w:ascii="SimSun" w:hAnsi="SimSun"/>
          <w:color w:val="000000"/>
        </w:rPr>
        <w:t>诱惑</w:t>
      </w:r>
      <w:r>
        <w:rPr>
          <w:rFonts w:eastAsia="Times New Roman" w:cs="Times New Roman"/>
          <w:color w:val="000000"/>
        </w:rPr>
        <w:t xml:space="preserve">) by sugary treats, but by our computers, phones, and tablets — all the devices that connect us to the global delivery system for various types of information that do to us what marshmallows do to preschoolers. </w:t>
      </w:r>
    </w:p>
    <w:p w14:paraId="30A085DF" w14:textId="77777777" w:rsidR="00F85614" w:rsidRDefault="00000000">
      <w:pPr>
        <w:spacing w:line="360" w:lineRule="auto"/>
        <w:ind w:firstLine="420"/>
        <w:textAlignment w:val="center"/>
        <w:rPr>
          <w:color w:val="000000"/>
        </w:rPr>
      </w:pPr>
      <w:r>
        <w:rPr>
          <w:rFonts w:eastAsia="Times New Roman" w:cs="Times New Roman"/>
          <w:color w:val="000000"/>
        </w:rPr>
        <w:t>We are tempted by sugary treats because our ancestors lived in a calorie-poor world, and our brains developed a response mechanism to these treats that reflected their value — a feeling of reward and satisfaction. But as we’ve reshaped the world around us, dramatically reducing the cost and effort involved in obtaining calories, we still have the same brains we had thousands of years ago, and this mismatch is at the heart of why so many of us struggle to resist tempting foods that we know we shouldn’t eat.</w:t>
      </w:r>
    </w:p>
    <w:p w14:paraId="193C8BF7" w14:textId="77777777" w:rsidR="00F85614" w:rsidRDefault="00000000">
      <w:pPr>
        <w:spacing w:line="360" w:lineRule="auto"/>
        <w:ind w:firstLine="420"/>
        <w:textAlignment w:val="center"/>
        <w:rPr>
          <w:color w:val="000000"/>
        </w:rPr>
      </w:pPr>
      <w:r>
        <w:rPr>
          <w:rFonts w:eastAsia="Times New Roman" w:cs="Times New Roman"/>
          <w:color w:val="000000"/>
        </w:rPr>
        <w:t>A similar process is at work in our response to information. Our formative environment as a species was information-poor, so our brains developed a mechanism that prized new information. But global connectivity has greatly changed our information environment. We are now ceaselessly bombarded (</w:t>
      </w:r>
      <w:r>
        <w:rPr>
          <w:rFonts w:ascii="SimSun" w:hAnsi="SimSun"/>
          <w:color w:val="000000"/>
        </w:rPr>
        <w:t>轰炸</w:t>
      </w:r>
      <w:r>
        <w:rPr>
          <w:rFonts w:eastAsia="Times New Roman" w:cs="Times New Roman"/>
          <w:color w:val="000000"/>
        </w:rPr>
        <w:t>) with new information. Therefore, just as we need to be more thoughtful about our caloric consumption, we also need to be more thoughtful about our information consumption, resisting the temptation of the mental “junk food” in order to manage our time most effectively.</w:t>
      </w:r>
    </w:p>
    <w:p w14:paraId="17D06759" w14:textId="40EA7340" w:rsidR="00F85614" w:rsidRDefault="00F85614">
      <w:pPr>
        <w:spacing w:line="360" w:lineRule="auto"/>
        <w:jc w:val="left"/>
        <w:textAlignment w:val="center"/>
        <w:rPr>
          <w:color w:val="000000"/>
        </w:rPr>
      </w:pPr>
    </w:p>
    <w:p w14:paraId="255720BE" w14:textId="77777777" w:rsidR="009D2E67" w:rsidRDefault="009D2E67">
      <w:pPr>
        <w:spacing w:line="360" w:lineRule="auto"/>
        <w:jc w:val="left"/>
        <w:textAlignment w:val="center"/>
        <w:rPr>
          <w:color w:val="000000"/>
        </w:rPr>
      </w:pPr>
    </w:p>
    <w:p w14:paraId="1B8246B5" w14:textId="77777777" w:rsidR="009D2E67" w:rsidRDefault="009D2E67">
      <w:pPr>
        <w:spacing w:line="360" w:lineRule="auto"/>
        <w:jc w:val="left"/>
        <w:textAlignment w:val="center"/>
        <w:rPr>
          <w:color w:val="000000"/>
        </w:rPr>
      </w:pPr>
    </w:p>
    <w:p w14:paraId="63BC3BC2" w14:textId="77777777" w:rsidR="009D2E67" w:rsidRDefault="009D2E67">
      <w:pPr>
        <w:spacing w:line="360" w:lineRule="auto"/>
        <w:jc w:val="left"/>
        <w:textAlignment w:val="center"/>
        <w:rPr>
          <w:color w:val="000000"/>
        </w:rPr>
      </w:pPr>
    </w:p>
    <w:p w14:paraId="7FFF69B6" w14:textId="77777777" w:rsidR="009D2E67" w:rsidRDefault="009D2E67">
      <w:pPr>
        <w:spacing w:line="360" w:lineRule="auto"/>
        <w:jc w:val="left"/>
        <w:textAlignment w:val="center"/>
        <w:rPr>
          <w:color w:val="000000"/>
        </w:rPr>
      </w:pPr>
    </w:p>
    <w:p w14:paraId="5A9A359F" w14:textId="77777777" w:rsidR="009D2E67" w:rsidRDefault="009D2E67">
      <w:pPr>
        <w:spacing w:line="360" w:lineRule="auto"/>
        <w:jc w:val="left"/>
        <w:textAlignment w:val="center"/>
        <w:rPr>
          <w:color w:val="000000"/>
        </w:rPr>
      </w:pPr>
    </w:p>
    <w:p w14:paraId="70DAB5CB" w14:textId="77777777" w:rsidR="009D2E67" w:rsidRDefault="009D2E67">
      <w:pPr>
        <w:spacing w:line="360" w:lineRule="auto"/>
        <w:jc w:val="left"/>
        <w:textAlignment w:val="center"/>
        <w:rPr>
          <w:color w:val="000000"/>
        </w:rPr>
      </w:pPr>
    </w:p>
    <w:p w14:paraId="0B154DE3" w14:textId="77777777" w:rsidR="009D2E67" w:rsidRDefault="009D2E67">
      <w:pPr>
        <w:spacing w:line="360" w:lineRule="auto"/>
        <w:jc w:val="left"/>
        <w:textAlignment w:val="center"/>
        <w:rPr>
          <w:color w:val="000000"/>
        </w:rPr>
      </w:pPr>
    </w:p>
    <w:p w14:paraId="4A1F8825" w14:textId="77777777" w:rsidR="009D2E67" w:rsidRDefault="009D2E67">
      <w:pPr>
        <w:spacing w:line="360" w:lineRule="auto"/>
        <w:jc w:val="left"/>
        <w:textAlignment w:val="center"/>
        <w:rPr>
          <w:color w:val="000000"/>
        </w:rPr>
      </w:pPr>
    </w:p>
    <w:p w14:paraId="203B5A52" w14:textId="77777777" w:rsidR="009D2E67" w:rsidRDefault="009D2E67">
      <w:pPr>
        <w:spacing w:line="360" w:lineRule="auto"/>
        <w:jc w:val="left"/>
        <w:textAlignment w:val="center"/>
        <w:rPr>
          <w:color w:val="000000"/>
        </w:rPr>
      </w:pPr>
    </w:p>
    <w:sectPr w:rsidR="009D2E67">
      <w:footerReference w:type="even" r:id="rId10"/>
      <w:footerReference w:type="default" r:id="rId11"/>
      <w:footerReference w:type="firs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9905E" w14:textId="77777777" w:rsidR="007D07D5" w:rsidRDefault="007D07D5">
      <w:r>
        <w:separator/>
      </w:r>
    </w:p>
  </w:endnote>
  <w:endnote w:type="continuationSeparator" w:id="0">
    <w:p w14:paraId="17989318" w14:textId="77777777" w:rsidR="007D07D5" w:rsidRDefault="007D0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A9AA" w14:textId="77777777" w:rsidR="00F85614" w:rsidRDefault="00F856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CC14" w14:textId="77777777" w:rsidR="00F85614" w:rsidRDefault="00000000">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14:paraId="3F62D99B" w14:textId="77777777" w:rsidR="00F85614" w:rsidRDefault="00F85614">
    <w:pPr>
      <w:pStyle w:val="Footer"/>
    </w:pPr>
  </w:p>
  <w:p w14:paraId="4E42EDF1" w14:textId="77777777" w:rsidR="00F85614" w:rsidRDefault="00000000">
    <w:pPr>
      <w:tabs>
        <w:tab w:val="center" w:pos="4153"/>
        <w:tab w:val="right" w:pos="8306"/>
      </w:tabs>
      <w:snapToGrid w:val="0"/>
      <w:jc w:val="left"/>
      <w:rPr>
        <w:rFonts w:cs="Times New Roman"/>
        <w:kern w:val="0"/>
        <w:sz w:val="2"/>
        <w:szCs w:val="2"/>
      </w:rPr>
    </w:pPr>
    <w:r>
      <w:rPr>
        <w:color w:val="FFFFFF"/>
        <w:sz w:val="2"/>
        <w:szCs w:val="2"/>
      </w:rPr>
      <w:pict w14:anchorId="4D4B70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3" type="#_x0000_t136" alt="学科网 zxxk.com" style="position:absolute;margin-left:158.95pt;margin-top:407.9pt;width:2.85pt;height:2.85pt;rotation:315;z-index:-251658240;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62386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4" type="#_x0000_t75" alt="学科网 zxxk.com" style="position:absolute;margin-left:64.05pt;margin-top:-20.75pt;width:.05pt;height:.05pt;z-index:251659264;mso-width-relative:page;mso-height-relative:page">
          <v:imagedata r:id="rId1" o:title=""/>
        </v:shape>
      </w:pict>
    </w:r>
    <w:r>
      <w:rPr>
        <w:rFonts w:cs="Times New Roman" w:hint="eastAsia"/>
        <w:color w:val="FFFFFF"/>
        <w:kern w:val="0"/>
        <w:sz w:val="2"/>
        <w:szCs w:val="2"/>
      </w:rPr>
      <w:t>学科网（北京）股份有限公司</w:t>
    </w:r>
  </w:p>
  <w:p w14:paraId="78AF2032"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94E02A9">
        <v:shape id="_x0000_s3075" type="#_x0000_t136" alt="学科网 zxxk.com" style="position:absolute;margin-left:158.95pt;margin-top:407.9pt;width:2.85pt;height:2.85pt;rotation:315;z-index:-25165619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0C8DDB8">
        <v:shape id="_x0000_s3076" type="#_x0000_t75" alt="学科网 zxxk.com" style="position:absolute;margin-left:64.05pt;margin-top:-20.75pt;width:.05pt;height:.05pt;z-index:251661312">
          <v:imagedata r:id="rId2"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78664" w14:textId="77777777" w:rsidR="00F85614" w:rsidRDefault="00F85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2A343" w14:textId="77777777" w:rsidR="007D07D5" w:rsidRDefault="007D07D5">
      <w:r>
        <w:separator/>
      </w:r>
    </w:p>
  </w:footnote>
  <w:footnote w:type="continuationSeparator" w:id="0">
    <w:p w14:paraId="11571BA1" w14:textId="77777777" w:rsidR="007D07D5" w:rsidRDefault="007D07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420"/>
  <w:drawingGridHorizontalSpacing w:val="105"/>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yODgxZjM0MTIwYmExZGI1ZDBmYTRiMzZkOGM0Nj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7D07D5"/>
    <w:rsid w:val="00817391"/>
    <w:rsid w:val="00832EC9"/>
    <w:rsid w:val="008634CD"/>
    <w:rsid w:val="008731FA"/>
    <w:rsid w:val="00880A38"/>
    <w:rsid w:val="00893DD6"/>
    <w:rsid w:val="008D2E94"/>
    <w:rsid w:val="0090278E"/>
    <w:rsid w:val="00974E0F"/>
    <w:rsid w:val="00982128"/>
    <w:rsid w:val="009A27BF"/>
    <w:rsid w:val="009B5666"/>
    <w:rsid w:val="009C4252"/>
    <w:rsid w:val="009D2E67"/>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85614"/>
    <w:rsid w:val="00FA0944"/>
    <w:rsid w:val="00FB34D2"/>
    <w:rsid w:val="00FB4B17"/>
    <w:rsid w:val="00FC5860"/>
    <w:rsid w:val="00FD377B"/>
    <w:rsid w:val="00FF2D79"/>
    <w:rsid w:val="00FF517A"/>
    <w:rsid w:val="38274566"/>
    <w:rsid w:val="606C5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31EDEDE"/>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rFonts w:cs="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HeaderChar"/>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autoRedefine/>
    <w:uiPriority w:val="99"/>
    <w:qFormat/>
    <w:rPr>
      <w:kern w:val="2"/>
      <w:sz w:val="18"/>
      <w:szCs w:val="24"/>
    </w:rPr>
  </w:style>
  <w:style w:type="paragraph" w:styleId="NoSpacing">
    <w:name w:val="No Spacing"/>
    <w:autoRedefine/>
    <w:uiPriority w:val="1"/>
    <w:qFormat/>
    <w:rPr>
      <w:rFonts w:asciiTheme="minorHAnsi" w:eastAsia="Microsoft YaHei UI" w:hAnsiTheme="minorHAnsi" w:cstheme="minorBidi"/>
      <w:sz w:val="22"/>
      <w:szCs w:val="22"/>
    </w:rPr>
  </w:style>
  <w:style w:type="paragraph" w:styleId="ListParagraph">
    <w:name w:val="List Paragraph"/>
    <w:basedOn w:val="Normal"/>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587</Words>
  <Characters>3350</Characters>
  <Application>Microsoft Office Word</Application>
  <DocSecurity>0</DocSecurity>
  <Lines>27</Lines>
  <Paragraphs>7</Paragraphs>
  <ScaleCrop>false</ScaleCrop>
  <Manager>康伟旗舰店 kangwei.tmall.com</Manager>
  <Company>康伟旗舰店 kangwei.tmall.com</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2024-01-12T19:44:00Z</dcterms:created>
  <dcterms:modified xsi:type="dcterms:W3CDTF">2026-10-01T02:01:00Z</dcterms:modified>
  <cp:category>康伟旗舰店 kangwei.tmall.com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