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211E3" w14:textId="77777777" w:rsidR="008A3959" w:rsidRDefault="00000000">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14:anchorId="40D92AFB" wp14:editId="6652A5C4">
            <wp:simplePos x="0" y="0"/>
            <wp:positionH relativeFrom="page">
              <wp:posOffset>11442700</wp:posOffset>
            </wp:positionH>
            <wp:positionV relativeFrom="topMargin">
              <wp:posOffset>10198100</wp:posOffset>
            </wp:positionV>
            <wp:extent cx="266700" cy="3810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a:stretch>
                      <a:fillRect/>
                    </a:stretch>
                  </pic:blipFill>
                  <pic:spPr>
                    <a:xfrm>
                      <a:off x="0" y="0"/>
                      <a:ext cx="266700" cy="381000"/>
                    </a:xfrm>
                    <a:prstGeom prst="rect">
                      <a:avLst/>
                    </a:prstGeom>
                  </pic:spPr>
                </pic:pic>
              </a:graphicData>
            </a:graphic>
          </wp:anchor>
        </w:drawing>
      </w:r>
      <w:r>
        <w:rPr>
          <w:rFonts w:eastAsia="Times New Roman" w:cs="Times New Roman"/>
          <w:b/>
          <w:sz w:val="32"/>
        </w:rPr>
        <w:t>2024</w:t>
      </w:r>
      <w:r>
        <w:rPr>
          <w:rFonts w:ascii="SimSun" w:hAnsi="SimSun"/>
          <w:b/>
          <w:sz w:val="32"/>
        </w:rPr>
        <w:t>年普通高等学校招生全国统一考试</w:t>
      </w:r>
      <w:r>
        <w:rPr>
          <w:rFonts w:ascii="SimSun" w:hAnsi="SimSun" w:hint="eastAsia"/>
          <w:b/>
          <w:sz w:val="32"/>
        </w:rPr>
        <w:t>（新课标Ⅰ卷）</w:t>
      </w:r>
    </w:p>
    <w:p w14:paraId="2EC71761" w14:textId="77777777" w:rsidR="004F45EA" w:rsidRDefault="004F45EA">
      <w:pPr>
        <w:spacing w:line="360" w:lineRule="auto"/>
        <w:jc w:val="center"/>
        <w:textAlignment w:val="center"/>
        <w:rPr>
          <w:rFonts w:ascii="SimSun" w:hAnsi="SimSun"/>
          <w:b/>
          <w:sz w:val="32"/>
        </w:rPr>
      </w:pPr>
    </w:p>
    <w:p w14:paraId="62F2A318" w14:textId="77777777" w:rsidR="004F45EA" w:rsidRDefault="004F45EA">
      <w:pPr>
        <w:spacing w:line="360" w:lineRule="auto"/>
        <w:jc w:val="center"/>
        <w:textAlignment w:val="center"/>
        <w:rPr>
          <w:rFonts w:ascii="SimSun" w:hAnsi="SimSun"/>
          <w:b/>
          <w:sz w:val="32"/>
        </w:rPr>
      </w:pPr>
    </w:p>
    <w:p w14:paraId="515F1EEE" w14:textId="77777777" w:rsidR="004F45EA" w:rsidRDefault="004F45EA">
      <w:pPr>
        <w:spacing w:line="360" w:lineRule="auto"/>
        <w:jc w:val="center"/>
        <w:textAlignment w:val="center"/>
        <w:rPr>
          <w:rFonts w:ascii="SimSun" w:hAnsi="SimSun"/>
          <w:b/>
          <w:sz w:val="32"/>
        </w:rPr>
      </w:pPr>
    </w:p>
    <w:p w14:paraId="2FA60C51" w14:textId="77777777" w:rsidR="004F45EA" w:rsidRDefault="004F45EA">
      <w:pPr>
        <w:spacing w:line="360" w:lineRule="auto"/>
        <w:jc w:val="center"/>
        <w:textAlignment w:val="center"/>
        <w:rPr>
          <w:rFonts w:ascii="SimSun" w:hAnsi="SimSun"/>
          <w:b/>
          <w:sz w:val="32"/>
        </w:rPr>
      </w:pPr>
    </w:p>
    <w:p w14:paraId="1A9E7247" w14:textId="77777777" w:rsidR="004F45EA" w:rsidRDefault="004F45EA">
      <w:pPr>
        <w:spacing w:line="360" w:lineRule="auto"/>
        <w:jc w:val="center"/>
        <w:textAlignment w:val="center"/>
        <w:rPr>
          <w:rFonts w:ascii="SimSun" w:hAnsi="SimSun"/>
          <w:b/>
          <w:sz w:val="32"/>
        </w:rPr>
      </w:pPr>
    </w:p>
    <w:p w14:paraId="59F5EFC0" w14:textId="77777777" w:rsidR="004F45EA" w:rsidRDefault="004F45EA">
      <w:pPr>
        <w:spacing w:line="360" w:lineRule="auto"/>
        <w:jc w:val="center"/>
        <w:textAlignment w:val="center"/>
        <w:rPr>
          <w:rFonts w:ascii="SimSun" w:hAnsi="SimSun"/>
          <w:b/>
          <w:sz w:val="32"/>
        </w:rPr>
      </w:pPr>
    </w:p>
    <w:p w14:paraId="3911320B" w14:textId="4B92CE02" w:rsidR="008A3959" w:rsidRDefault="00000000">
      <w:pPr>
        <w:spacing w:line="360" w:lineRule="auto"/>
        <w:jc w:val="center"/>
        <w:textAlignment w:val="center"/>
        <w:rPr>
          <w:color w:val="000000"/>
        </w:rPr>
      </w:pPr>
      <w:r>
        <w:rPr>
          <w:rFonts w:eastAsia="Times New Roman" w:cs="Times New Roman"/>
          <w:b/>
          <w:color w:val="000000"/>
          <w:sz w:val="24"/>
        </w:rPr>
        <w:t>C</w:t>
      </w:r>
    </w:p>
    <w:p w14:paraId="63B993F4" w14:textId="77777777" w:rsidR="008A3959" w:rsidRDefault="00000000">
      <w:pPr>
        <w:spacing w:line="360" w:lineRule="auto"/>
        <w:ind w:firstLine="420"/>
        <w:textAlignment w:val="center"/>
        <w:rPr>
          <w:color w:val="000000"/>
        </w:rPr>
      </w:pPr>
      <w:r>
        <w:rPr>
          <w:rFonts w:eastAsia="Times New Roman" w:cs="Times New Roman"/>
          <w:color w:val="000000"/>
        </w:rPr>
        <w:t>Is comprehension the same whether a person reads a text onscreen or on paper? And are listening to and viewing content as effective as reading the written word when covering the same material? The answers to both questions are often “no”. The reasons relate to a variety of factors, including reduced concentration, an entertainment mindset (</w:t>
      </w:r>
      <w:r>
        <w:rPr>
          <w:rFonts w:ascii="SimSun" w:hAnsi="SimSun"/>
          <w:color w:val="000000"/>
        </w:rPr>
        <w:t>心态</w:t>
      </w:r>
      <w:r>
        <w:rPr>
          <w:rFonts w:eastAsia="Times New Roman" w:cs="Times New Roman"/>
          <w:color w:val="000000"/>
        </w:rPr>
        <w:t>) and a tendency to multitask while consuming digital content.</w:t>
      </w:r>
    </w:p>
    <w:p w14:paraId="616DEE2D" w14:textId="77777777" w:rsidR="008A3959" w:rsidRDefault="00000000">
      <w:pPr>
        <w:spacing w:line="360" w:lineRule="auto"/>
        <w:ind w:firstLine="420"/>
        <w:textAlignment w:val="center"/>
        <w:rPr>
          <w:color w:val="000000"/>
        </w:rPr>
      </w:pPr>
      <w:r>
        <w:rPr>
          <w:rFonts w:eastAsia="Times New Roman" w:cs="Times New Roman"/>
          <w:color w:val="000000"/>
        </w:rPr>
        <w:t xml:space="preserve">When reading texts of several hundred words or more, learning is generally more successful when it’s on paper than onscreen. A large amount of research confirms this finding. The benefits of print reading particularly </w:t>
      </w:r>
      <w:r>
        <w:rPr>
          <w:rFonts w:eastAsia="Times New Roman" w:cs="Times New Roman"/>
          <w:b/>
          <w:color w:val="000000"/>
          <w:u w:val="single"/>
        </w:rPr>
        <w:t>shine through</w:t>
      </w:r>
      <w:r>
        <w:rPr>
          <w:rFonts w:eastAsia="Times New Roman" w:cs="Times New Roman"/>
          <w:color w:val="000000"/>
        </w:rPr>
        <w:t xml:space="preserve"> when experimenters move from posing simple tasks — like identifying the main idea in a reading passage — to ones that require mental abstraction — such as drawing inferences from a text.</w:t>
      </w:r>
    </w:p>
    <w:p w14:paraId="51571BD3" w14:textId="77777777" w:rsidR="008A3959" w:rsidRDefault="00000000">
      <w:pPr>
        <w:spacing w:line="360" w:lineRule="auto"/>
        <w:ind w:firstLine="420"/>
        <w:textAlignment w:val="center"/>
        <w:rPr>
          <w:color w:val="000000"/>
        </w:rPr>
      </w:pPr>
      <w:r>
        <w:rPr>
          <w:rFonts w:eastAsia="Times New Roman" w:cs="Times New Roman"/>
          <w:color w:val="000000"/>
        </w:rPr>
        <w:t>The differences between print and digital reading results are partly related to paper’s physical properties. With paper, there is a literal laying on of hands, along with the visual geography of distinct pages. People often link their memory of what they’ve read to how far into the book it was or where it was on the page.</w:t>
      </w:r>
    </w:p>
    <w:p w14:paraId="15D34193" w14:textId="77777777" w:rsidR="008A3959" w:rsidRDefault="00000000">
      <w:pPr>
        <w:spacing w:line="360" w:lineRule="auto"/>
        <w:ind w:firstLine="420"/>
        <w:textAlignment w:val="center"/>
        <w:rPr>
          <w:color w:val="000000"/>
        </w:rPr>
      </w:pPr>
      <w:r>
        <w:rPr>
          <w:rFonts w:eastAsia="Times New Roman" w:cs="Times New Roman"/>
          <w:color w:val="000000"/>
        </w:rPr>
        <w:t>But equally important is the mental aspect. Reading researchers have proposed a theory called “shallowing hypothesis (</w:t>
      </w:r>
      <w:r>
        <w:rPr>
          <w:rFonts w:ascii="SimSun" w:hAnsi="SimSun"/>
          <w:color w:val="000000"/>
        </w:rPr>
        <w:t>假说</w:t>
      </w:r>
      <w:r>
        <w:rPr>
          <w:rFonts w:eastAsia="Times New Roman" w:cs="Times New Roman"/>
          <w:color w:val="000000"/>
        </w:rPr>
        <w:t>)”. According to this theory, people approach digital texts with a mindset suited to social media, which are often not so serious, and devote less mental effort than when they are reading print.</w:t>
      </w:r>
    </w:p>
    <w:p w14:paraId="648768A9" w14:textId="77777777" w:rsidR="008A3959" w:rsidRDefault="00000000">
      <w:pPr>
        <w:spacing w:line="360" w:lineRule="auto"/>
        <w:ind w:firstLine="420"/>
        <w:textAlignment w:val="center"/>
        <w:rPr>
          <w:color w:val="000000"/>
        </w:rPr>
      </w:pPr>
      <w:r>
        <w:rPr>
          <w:rFonts w:eastAsia="Times New Roman" w:cs="Times New Roman"/>
          <w:color w:val="000000"/>
        </w:rPr>
        <w:t>Audio (</w:t>
      </w:r>
      <w:r>
        <w:rPr>
          <w:rFonts w:ascii="SimSun" w:hAnsi="SimSun"/>
          <w:color w:val="000000"/>
        </w:rPr>
        <w:t>音频</w:t>
      </w:r>
      <w:r>
        <w:rPr>
          <w:rFonts w:eastAsia="Times New Roman" w:cs="Times New Roman"/>
          <w:color w:val="000000"/>
        </w:rPr>
        <w:t>) and video can feel more engaging than text, and so university teachers increasingly turn to these technologies — say, assigning an online talk instead of an article by the same person. However, psychologists have demonstrated that when adults read news stories, they remember more of the content than if they listen to or view identical pieces.</w:t>
      </w:r>
    </w:p>
    <w:p w14:paraId="39C70771" w14:textId="77777777" w:rsidR="008A3959" w:rsidRDefault="00000000">
      <w:pPr>
        <w:spacing w:line="360" w:lineRule="auto"/>
        <w:ind w:firstLine="420"/>
        <w:textAlignment w:val="center"/>
        <w:rPr>
          <w:color w:val="000000"/>
        </w:rPr>
      </w:pPr>
      <w:r>
        <w:rPr>
          <w:rFonts w:eastAsia="Times New Roman" w:cs="Times New Roman"/>
          <w:color w:val="000000"/>
        </w:rPr>
        <w:t xml:space="preserve">Digital texts, audio and video all have educational roles, especially when providing resources not available in print. However, for maximizing learning where mental focus and reflection are called for, educators shouldn’t assume </w:t>
      </w:r>
      <w:r>
        <w:rPr>
          <w:rFonts w:eastAsia="Times New Roman" w:cs="Times New Roman"/>
          <w:color w:val="000000"/>
        </w:rPr>
        <w:lastRenderedPageBreak/>
        <w:t>all media are the same, even when they contain identical words.</w:t>
      </w:r>
    </w:p>
    <w:p w14:paraId="2F952C6B" w14:textId="77777777" w:rsidR="004F45EA" w:rsidRDefault="004F45EA">
      <w:pPr>
        <w:spacing w:line="360" w:lineRule="auto"/>
        <w:jc w:val="left"/>
        <w:textAlignment w:val="center"/>
        <w:rPr>
          <w:color w:val="000000"/>
        </w:rPr>
      </w:pPr>
    </w:p>
    <w:p w14:paraId="0FF5FBFB" w14:textId="77777777" w:rsidR="004F45EA" w:rsidRDefault="004F45EA">
      <w:pPr>
        <w:spacing w:line="360" w:lineRule="auto"/>
        <w:jc w:val="center"/>
        <w:textAlignment w:val="center"/>
        <w:rPr>
          <w:color w:val="000000"/>
        </w:rPr>
      </w:pPr>
    </w:p>
    <w:p w14:paraId="5E8727FE" w14:textId="77777777" w:rsidR="004F45EA" w:rsidRDefault="004F45EA">
      <w:pPr>
        <w:spacing w:line="360" w:lineRule="auto"/>
        <w:jc w:val="center"/>
        <w:textAlignment w:val="center"/>
        <w:rPr>
          <w:color w:val="000000"/>
        </w:rPr>
      </w:pPr>
    </w:p>
    <w:p w14:paraId="263A33EE" w14:textId="77777777" w:rsidR="004F45EA" w:rsidRDefault="004F45EA">
      <w:pPr>
        <w:spacing w:line="360" w:lineRule="auto"/>
        <w:jc w:val="center"/>
        <w:textAlignment w:val="center"/>
        <w:rPr>
          <w:color w:val="000000"/>
        </w:rPr>
      </w:pPr>
    </w:p>
    <w:p w14:paraId="35A9C8AB" w14:textId="77777777" w:rsidR="004F45EA" w:rsidRDefault="004F45EA">
      <w:pPr>
        <w:spacing w:line="360" w:lineRule="auto"/>
        <w:jc w:val="center"/>
        <w:textAlignment w:val="center"/>
        <w:rPr>
          <w:color w:val="000000"/>
        </w:rPr>
      </w:pPr>
    </w:p>
    <w:p w14:paraId="605CD472" w14:textId="77777777" w:rsidR="004F45EA" w:rsidRDefault="004F45EA">
      <w:pPr>
        <w:spacing w:line="360" w:lineRule="auto"/>
        <w:jc w:val="center"/>
        <w:textAlignment w:val="center"/>
        <w:rPr>
          <w:color w:val="000000"/>
        </w:rPr>
      </w:pPr>
    </w:p>
    <w:p w14:paraId="43ABB83A" w14:textId="77777777" w:rsidR="004F45EA" w:rsidRDefault="004F45EA">
      <w:pPr>
        <w:spacing w:line="360" w:lineRule="auto"/>
        <w:jc w:val="center"/>
        <w:textAlignment w:val="center"/>
        <w:rPr>
          <w:color w:val="000000"/>
        </w:rPr>
      </w:pPr>
    </w:p>
    <w:p w14:paraId="52DD10D4" w14:textId="77777777" w:rsidR="004F45EA" w:rsidRDefault="004F45EA">
      <w:pPr>
        <w:spacing w:line="360" w:lineRule="auto"/>
        <w:jc w:val="center"/>
        <w:textAlignment w:val="center"/>
        <w:rPr>
          <w:color w:val="000000"/>
        </w:rPr>
      </w:pPr>
    </w:p>
    <w:p w14:paraId="48DFF2E3" w14:textId="2DC7538D" w:rsidR="008A3959" w:rsidRDefault="00000000">
      <w:pPr>
        <w:spacing w:line="360" w:lineRule="auto"/>
        <w:jc w:val="center"/>
        <w:textAlignment w:val="center"/>
        <w:rPr>
          <w:color w:val="000000"/>
        </w:rPr>
      </w:pPr>
      <w:r>
        <w:rPr>
          <w:rFonts w:eastAsia="Times New Roman" w:cs="Times New Roman"/>
          <w:b/>
          <w:color w:val="000000"/>
          <w:sz w:val="24"/>
        </w:rPr>
        <w:t>D</w:t>
      </w:r>
    </w:p>
    <w:p w14:paraId="5275B8B8" w14:textId="77777777" w:rsidR="008A3959" w:rsidRDefault="00000000">
      <w:pPr>
        <w:spacing w:line="360" w:lineRule="auto"/>
        <w:ind w:firstLine="420"/>
        <w:textAlignment w:val="center"/>
        <w:rPr>
          <w:color w:val="000000"/>
        </w:rPr>
      </w:pPr>
      <w:r>
        <w:rPr>
          <w:rFonts w:eastAsia="Times New Roman" w:cs="Times New Roman"/>
          <w:color w:val="000000"/>
        </w:rPr>
        <w:t>In the race to document the species on Earth before they go extinct, researchers and citizen scientists have collected billions of records. Today, most records of biodiversity are often in the form of photos, videos, and other digital records. Though they are useful for detecting shifts in the number and variety of species in an area, a new Stanford study has found that this type of record is not perfect.</w:t>
      </w:r>
    </w:p>
    <w:p w14:paraId="093C44E9" w14:textId="77777777" w:rsidR="008A3959" w:rsidRDefault="00000000">
      <w:pPr>
        <w:spacing w:line="360" w:lineRule="auto"/>
        <w:ind w:firstLine="420"/>
        <w:textAlignment w:val="center"/>
        <w:rPr>
          <w:color w:val="000000"/>
        </w:rPr>
      </w:pPr>
      <w:r>
        <w:rPr>
          <w:rFonts w:eastAsia="Times New Roman" w:cs="Times New Roman"/>
          <w:color w:val="000000"/>
        </w:rPr>
        <w:t xml:space="preserve"> “With the rise of </w:t>
      </w:r>
      <w:proofErr w:type="gramStart"/>
      <w:r>
        <w:rPr>
          <w:rFonts w:eastAsia="Times New Roman" w:cs="Times New Roman"/>
          <w:color w:val="000000"/>
        </w:rPr>
        <w:t>technology</w:t>
      </w:r>
      <w:proofErr w:type="gramEnd"/>
      <w:r>
        <w:rPr>
          <w:rFonts w:eastAsia="Times New Roman" w:cs="Times New Roman"/>
          <w:color w:val="000000"/>
        </w:rPr>
        <w:t xml:space="preserve"> it is easy for people to make observations of different species with the aid of a mobile application,” said Barnabas Daru, who is lead author of the study and assistant professor of biology in the Stanford School of Humanities and Sciences. “These observations now outnumber the primary data that comes from physical specimens (</w:t>
      </w:r>
      <w:r>
        <w:rPr>
          <w:rFonts w:ascii="SimSun" w:hAnsi="SimSun"/>
          <w:color w:val="000000"/>
        </w:rPr>
        <w:t>标本</w:t>
      </w:r>
      <w:r>
        <w:rPr>
          <w:rFonts w:eastAsia="Times New Roman" w:cs="Times New Roman"/>
          <w:color w:val="000000"/>
        </w:rPr>
        <w:t>), and since we are increasingly using observational data to investigate how species are responding to global change, I wanted to know: Are they usable?”</w:t>
      </w:r>
    </w:p>
    <w:p w14:paraId="682C5EDB" w14:textId="77777777" w:rsidR="008A3959" w:rsidRDefault="00000000">
      <w:pPr>
        <w:spacing w:line="360" w:lineRule="auto"/>
        <w:ind w:firstLine="420"/>
        <w:textAlignment w:val="center"/>
        <w:rPr>
          <w:color w:val="000000"/>
        </w:rPr>
      </w:pPr>
      <w:r>
        <w:rPr>
          <w:rFonts w:eastAsia="Times New Roman" w:cs="Times New Roman"/>
          <w:color w:val="000000"/>
        </w:rPr>
        <w:t>Using a global dataset of 1.9 billion records of plants, insects, birds, and animals, Daru and his team tested how well these data represent actual global biodiversity patterns.</w:t>
      </w:r>
    </w:p>
    <w:p w14:paraId="093FEAF4" w14:textId="77777777" w:rsidR="008A3959" w:rsidRDefault="00000000">
      <w:pPr>
        <w:spacing w:line="360" w:lineRule="auto"/>
        <w:ind w:firstLine="420"/>
        <w:textAlignment w:val="center"/>
        <w:rPr>
          <w:color w:val="000000"/>
        </w:rPr>
      </w:pPr>
      <w:r>
        <w:rPr>
          <w:rFonts w:eastAsia="Times New Roman" w:cs="Times New Roman"/>
          <w:color w:val="000000"/>
        </w:rPr>
        <w:t>“We were particularly interested in exploring the aspects of sampling that tend to bias (</w:t>
      </w:r>
      <w:r>
        <w:rPr>
          <w:rFonts w:ascii="SimSun" w:hAnsi="SimSun"/>
          <w:color w:val="000000"/>
        </w:rPr>
        <w:t>使有偏差</w:t>
      </w:r>
      <w:r>
        <w:rPr>
          <w:rFonts w:eastAsia="Times New Roman" w:cs="Times New Roman"/>
          <w:color w:val="000000"/>
        </w:rPr>
        <w:t>) data, like the greater likelihood of a citizen scientist to take a picture of a flowering plant instead of the grass right next to it,” said Daru.</w:t>
      </w:r>
    </w:p>
    <w:p w14:paraId="74253BA0" w14:textId="77777777" w:rsidR="008A3959" w:rsidRDefault="00000000">
      <w:pPr>
        <w:spacing w:line="360" w:lineRule="auto"/>
        <w:ind w:firstLine="420"/>
        <w:textAlignment w:val="center"/>
        <w:rPr>
          <w:color w:val="000000"/>
        </w:rPr>
      </w:pPr>
      <w:r>
        <w:rPr>
          <w:rFonts w:eastAsia="Times New Roman" w:cs="Times New Roman"/>
          <w:color w:val="000000"/>
        </w:rPr>
        <w:t>Their study revealed that the large number of observation-only records did not lead to better global coverage. Moreover, these data are biased and favor certain regions, time periods, and species. This makes sense because the people who get observational biodiversity data on mobile devices are often citizen scientists recording their encounters with species in areas nearby. These data are also biased toward certain species with attractive or eye-catching features.</w:t>
      </w:r>
    </w:p>
    <w:p w14:paraId="536D50AD" w14:textId="77777777" w:rsidR="008A3959" w:rsidRDefault="00000000">
      <w:pPr>
        <w:spacing w:line="360" w:lineRule="auto"/>
        <w:ind w:firstLine="420"/>
        <w:textAlignment w:val="center"/>
        <w:rPr>
          <w:color w:val="000000"/>
        </w:rPr>
      </w:pPr>
      <w:r>
        <w:rPr>
          <w:rFonts w:eastAsia="Times New Roman" w:cs="Times New Roman"/>
          <w:color w:val="000000"/>
        </w:rPr>
        <w:t>What can we do with the imperfect datasets of biodiversity?</w:t>
      </w:r>
    </w:p>
    <w:p w14:paraId="23BCD7E3" w14:textId="77777777" w:rsidR="008A3959" w:rsidRDefault="00000000">
      <w:pPr>
        <w:spacing w:line="360" w:lineRule="auto"/>
        <w:ind w:firstLine="420"/>
        <w:textAlignment w:val="center"/>
        <w:rPr>
          <w:color w:val="000000"/>
        </w:rPr>
      </w:pPr>
      <w:r>
        <w:rPr>
          <w:rFonts w:eastAsia="Times New Roman" w:cs="Times New Roman"/>
          <w:color w:val="000000"/>
        </w:rPr>
        <w:t xml:space="preserve">“Quite a lot,” Daru explained. “Biodiversity apps can use our study results to inform users of oversampled areas </w:t>
      </w:r>
      <w:r>
        <w:rPr>
          <w:rFonts w:eastAsia="Times New Roman" w:cs="Times New Roman"/>
          <w:color w:val="000000"/>
        </w:rPr>
        <w:lastRenderedPageBreak/>
        <w:t>and lead them to places — and even species — that are not well-sampled. To improve the quality of observational data, biodiversity apps can also encourage users to have an expert confirm the identification of their uploaded image.”</w:t>
      </w:r>
    </w:p>
    <w:p w14:paraId="36FA714B" w14:textId="77777777" w:rsidR="008A3959" w:rsidRDefault="008A3959">
      <w:pPr>
        <w:spacing w:line="360" w:lineRule="auto"/>
        <w:textAlignment w:val="center"/>
        <w:rPr>
          <w:color w:val="000000"/>
        </w:rPr>
      </w:pPr>
    </w:p>
    <w:p w14:paraId="4E46F895" w14:textId="77777777" w:rsidR="004F45EA" w:rsidRDefault="004F45EA">
      <w:pPr>
        <w:spacing w:line="360" w:lineRule="auto"/>
        <w:textAlignment w:val="center"/>
        <w:rPr>
          <w:color w:val="000000"/>
        </w:rPr>
      </w:pPr>
    </w:p>
    <w:p w14:paraId="15100EE5" w14:textId="77777777" w:rsidR="004F45EA" w:rsidRDefault="004F45EA">
      <w:pPr>
        <w:spacing w:line="360" w:lineRule="auto"/>
        <w:textAlignment w:val="center"/>
        <w:rPr>
          <w:color w:val="000000"/>
        </w:rPr>
      </w:pPr>
    </w:p>
    <w:p w14:paraId="4CC3B848" w14:textId="77777777" w:rsidR="004F45EA" w:rsidRDefault="004F45EA">
      <w:pPr>
        <w:spacing w:line="360" w:lineRule="auto"/>
        <w:textAlignment w:val="center"/>
        <w:rPr>
          <w:color w:val="000000"/>
        </w:rPr>
      </w:pPr>
    </w:p>
    <w:p w14:paraId="03F43AFD" w14:textId="77777777" w:rsidR="004F45EA" w:rsidRDefault="004F45EA">
      <w:pPr>
        <w:spacing w:line="360" w:lineRule="auto"/>
        <w:textAlignment w:val="center"/>
        <w:rPr>
          <w:color w:val="000000"/>
        </w:rPr>
      </w:pPr>
    </w:p>
    <w:p w14:paraId="32097BFD" w14:textId="77777777" w:rsidR="004F45EA" w:rsidRDefault="004F45EA">
      <w:pPr>
        <w:spacing w:line="360" w:lineRule="auto"/>
        <w:textAlignment w:val="center"/>
        <w:rPr>
          <w:color w:val="000000"/>
        </w:rPr>
      </w:pPr>
    </w:p>
    <w:p w14:paraId="11184098" w14:textId="77777777" w:rsidR="004F45EA" w:rsidRDefault="004F45EA">
      <w:pPr>
        <w:spacing w:line="360" w:lineRule="auto"/>
        <w:textAlignment w:val="center"/>
        <w:rPr>
          <w:color w:val="000000"/>
        </w:rPr>
      </w:pPr>
    </w:p>
    <w:p w14:paraId="4DBBF87C" w14:textId="77777777" w:rsidR="004F45EA" w:rsidRDefault="004F45EA">
      <w:pPr>
        <w:spacing w:line="360" w:lineRule="auto"/>
        <w:textAlignment w:val="center"/>
        <w:rPr>
          <w:color w:val="000000"/>
        </w:rPr>
      </w:pPr>
    </w:p>
    <w:p w14:paraId="7534344D" w14:textId="77777777" w:rsidR="004F45EA" w:rsidRDefault="004F45EA">
      <w:pPr>
        <w:spacing w:line="360" w:lineRule="auto"/>
        <w:textAlignment w:val="center"/>
        <w:rPr>
          <w:color w:val="000000"/>
        </w:rPr>
      </w:pPr>
    </w:p>
    <w:p w14:paraId="707F0CAF" w14:textId="77777777" w:rsidR="004F45EA" w:rsidRDefault="004F45EA">
      <w:pPr>
        <w:spacing w:line="360" w:lineRule="auto"/>
        <w:textAlignment w:val="center"/>
        <w:rPr>
          <w:color w:val="000000"/>
        </w:rPr>
      </w:pPr>
    </w:p>
    <w:p w14:paraId="5F1DBDCC" w14:textId="77777777" w:rsidR="004F45EA" w:rsidRDefault="004F45EA">
      <w:pPr>
        <w:spacing w:line="360" w:lineRule="auto"/>
        <w:textAlignment w:val="center"/>
        <w:rPr>
          <w:color w:val="000000"/>
        </w:rPr>
      </w:pPr>
    </w:p>
    <w:p w14:paraId="129E95BC" w14:textId="77777777" w:rsidR="004F45EA" w:rsidRDefault="004F45EA">
      <w:pPr>
        <w:spacing w:line="360" w:lineRule="auto"/>
        <w:textAlignment w:val="center"/>
        <w:rPr>
          <w:color w:val="000000"/>
        </w:rPr>
      </w:pPr>
    </w:p>
    <w:p w14:paraId="6A843C5D" w14:textId="77777777" w:rsidR="004F45EA" w:rsidRDefault="004F45EA">
      <w:pPr>
        <w:spacing w:line="360" w:lineRule="auto"/>
        <w:textAlignment w:val="center"/>
        <w:rPr>
          <w:color w:val="000000"/>
        </w:rPr>
      </w:pPr>
    </w:p>
    <w:p w14:paraId="76057393" w14:textId="77777777" w:rsidR="004F45EA" w:rsidRDefault="004F45EA">
      <w:pPr>
        <w:spacing w:line="360" w:lineRule="auto"/>
        <w:textAlignment w:val="center"/>
        <w:rPr>
          <w:color w:val="000000"/>
        </w:rPr>
      </w:pPr>
    </w:p>
    <w:sectPr w:rsidR="004F45EA">
      <w:footerReference w:type="default" r:id="rId9"/>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005EA" w14:textId="77777777" w:rsidR="007A2F1C" w:rsidRDefault="007A2F1C">
      <w:r>
        <w:separator/>
      </w:r>
    </w:p>
  </w:endnote>
  <w:endnote w:type="continuationSeparator" w:id="0">
    <w:p w14:paraId="74544995" w14:textId="77777777" w:rsidR="007A2F1C" w:rsidRDefault="007A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F7ACF" w14:textId="77777777" w:rsidR="008A3959" w:rsidRDefault="00000000">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14:paraId="48270667" w14:textId="77777777" w:rsidR="008A3959" w:rsidRDefault="008A3959">
    <w:pPr>
      <w:pStyle w:val="Footer"/>
    </w:pPr>
  </w:p>
  <w:p w14:paraId="1C2D87E5" w14:textId="77777777" w:rsidR="008A3959" w:rsidRDefault="00000000">
    <w:pPr>
      <w:tabs>
        <w:tab w:val="center" w:pos="4153"/>
        <w:tab w:val="right" w:pos="8306"/>
      </w:tabs>
      <w:snapToGrid w:val="0"/>
      <w:jc w:val="left"/>
      <w:rPr>
        <w:rFonts w:cs="Times New Roman"/>
        <w:kern w:val="0"/>
        <w:sz w:val="2"/>
        <w:szCs w:val="2"/>
      </w:rPr>
    </w:pPr>
    <w:r>
      <w:rPr>
        <w:color w:val="FFFFFF"/>
        <w:sz w:val="2"/>
        <w:szCs w:val="2"/>
      </w:rPr>
      <w:pict w14:anchorId="27CFAC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5"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6528FD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6" type="#_x0000_t75" alt="学科网 zxxk.com" style="position:absolute;margin-left:64.05pt;margin-top:-20.75pt;width:.05pt;height:.05pt;z-index:251660288;mso-width-relative:page;mso-height-relative:page">
          <v:imagedata r:id="rId1" o:title="%7B75232B38-A165-1FB7-499C-2E1C792CACB5%7D"/>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1EBAF" w14:textId="77777777" w:rsidR="007A2F1C" w:rsidRDefault="007A2F1C">
      <w:r>
        <w:separator/>
      </w:r>
    </w:p>
  </w:footnote>
  <w:footnote w:type="continuationSeparator" w:id="0">
    <w:p w14:paraId="685CE874" w14:textId="77777777" w:rsidR="007A2F1C" w:rsidRDefault="007A2F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4F45EA"/>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7A2F1C"/>
    <w:rsid w:val="00817391"/>
    <w:rsid w:val="00832EC9"/>
    <w:rsid w:val="008634CD"/>
    <w:rsid w:val="008731FA"/>
    <w:rsid w:val="00880A38"/>
    <w:rsid w:val="00893DD6"/>
    <w:rsid w:val="008A3959"/>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3896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EC3C4"/>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655</Words>
  <Characters>3736</Characters>
  <Application>Microsoft Office Word</Application>
  <DocSecurity>0</DocSecurity>
  <Lines>31</Lines>
  <Paragraphs>8</Paragraphs>
  <ScaleCrop>false</ScaleCrop>
  <Manager>康伟旗舰店 kangwei.tmall.com</Manager>
  <Company>康伟旗舰店 kangwei.tmall.com</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2024-06-11T20:04:00Z</dcterms:created>
  <dcterms:modified xsi:type="dcterms:W3CDTF">2026-10-01T01:53:00Z</dcterms:modified>
  <cp:category>康伟旗舰店 kangwei.tmall.com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300EBB1EE56046E1A165BA4819EE7598_12</vt:lpwstr>
  </property>
</Properties>
</file>