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276C" w14:textId="77777777" w:rsidR="005B6933" w:rsidRDefault="005B6933">
      <w:pPr>
        <w:spacing w:line="360" w:lineRule="auto"/>
        <w:jc w:val="center"/>
        <w:rPr>
          <w:rFonts w:ascii="SimSun" w:hAnsi="SimSun"/>
          <w:b/>
          <w:sz w:val="24"/>
        </w:rPr>
      </w:pPr>
    </w:p>
    <w:p w14:paraId="14B2B3C0" w14:textId="38506381" w:rsidR="00FC5860" w:rsidRPr="00BE1BCD" w:rsidRDefault="00000000">
      <w:pPr>
        <w:spacing w:line="360" w:lineRule="auto"/>
        <w:jc w:val="center"/>
      </w:pPr>
      <w:r>
        <w:rPr>
          <w:rFonts w:eastAsia="Times New Roman" w:cs="Times New Roman"/>
          <w:b/>
          <w:sz w:val="32"/>
        </w:rPr>
        <w:t>2025</w:t>
      </w:r>
      <w:r>
        <w:rPr>
          <w:rFonts w:ascii="SimSun" w:hAnsi="SimSun"/>
          <w:b/>
          <w:sz w:val="32"/>
        </w:rPr>
        <w:t>年普通高等学校招生全国统一考试</w:t>
      </w:r>
      <w:r>
        <w:rPr>
          <w:rFonts w:eastAsia="Times New Roman" w:cs="Times New Roman"/>
          <w:b/>
          <w:sz w:val="32"/>
        </w:rPr>
        <w:t>(</w:t>
      </w:r>
      <w:r>
        <w:rPr>
          <w:rFonts w:ascii="SimSun" w:hAnsi="SimSun"/>
          <w:b/>
          <w:sz w:val="32"/>
        </w:rPr>
        <w:t>北京卷</w:t>
      </w:r>
      <w:r>
        <w:rPr>
          <w:rFonts w:eastAsia="Times New Roman" w:cs="Times New Roman"/>
          <w:b/>
          <w:sz w:val="32"/>
        </w:rPr>
        <w:t>)</w:t>
      </w:r>
    </w:p>
    <w:p w14:paraId="0D84BCEC" w14:textId="77777777" w:rsidR="005B6933" w:rsidRDefault="005B6933">
      <w:pPr>
        <w:spacing w:line="360" w:lineRule="auto"/>
        <w:jc w:val="center"/>
        <w:textAlignment w:val="center"/>
        <w:rPr>
          <w:rFonts w:ascii="SimSun" w:hAnsi="SimSun"/>
          <w:b/>
          <w:sz w:val="32"/>
        </w:rPr>
      </w:pPr>
    </w:p>
    <w:p w14:paraId="7132D6EE" w14:textId="7BCD495F" w:rsidR="005150AD" w:rsidRDefault="00000000">
      <w:pPr>
        <w:spacing w:line="360" w:lineRule="auto"/>
        <w:jc w:val="center"/>
        <w:textAlignment w:val="center"/>
        <w:rPr>
          <w:color w:val="000000"/>
        </w:rPr>
      </w:pPr>
      <w:r>
        <w:rPr>
          <w:rFonts w:eastAsia="Times New Roman" w:cs="Times New Roman"/>
          <w:b/>
          <w:color w:val="000000"/>
          <w:sz w:val="24"/>
        </w:rPr>
        <w:t>C</w:t>
      </w:r>
    </w:p>
    <w:p w14:paraId="466C58EE" w14:textId="77777777" w:rsidR="005150AD" w:rsidRDefault="00000000">
      <w:pPr>
        <w:spacing w:line="360" w:lineRule="auto"/>
        <w:ind w:firstLine="420"/>
        <w:jc w:val="left"/>
        <w:textAlignment w:val="center"/>
        <w:rPr>
          <w:color w:val="000000"/>
        </w:rPr>
      </w:pPr>
      <w:r>
        <w:rPr>
          <w:rFonts w:eastAsia="Times New Roman" w:cs="Times New Roman"/>
          <w:color w:val="000000"/>
        </w:rPr>
        <w:t>Not too long ago, on a cold winter night, there was a teenager who wanted more screen time and a parent who said no. The teenager was advocating for her right to scroll (</w:t>
      </w:r>
      <w:r>
        <w:rPr>
          <w:rFonts w:ascii="SimSun" w:hAnsi="SimSun"/>
          <w:color w:val="000000"/>
        </w:rPr>
        <w:t>翻屏</w:t>
      </w:r>
      <w:r>
        <w:rPr>
          <w:rFonts w:eastAsia="Times New Roman" w:cs="Times New Roman"/>
          <w:color w:val="000000"/>
        </w:rPr>
        <w:t xml:space="preserve">) for an extra 30 minutes. The parent argued that none of her friends’ parents let them have screens after 9 o’clock. “I thought, in this family, we don’t compare ourselves with other people, Dad?” the teenager replied. The parent — who was me, by the way — just got served. Since they were young, I have told my kids not to compare themselves with other people. I have argued countless times that comparisons are the “thief of joy”. </w:t>
      </w:r>
    </w:p>
    <w:p w14:paraId="459C6EAA" w14:textId="77777777" w:rsidR="005150AD" w:rsidRDefault="00000000">
      <w:pPr>
        <w:spacing w:line="360" w:lineRule="auto"/>
        <w:ind w:firstLine="420"/>
        <w:jc w:val="left"/>
        <w:textAlignment w:val="center"/>
        <w:rPr>
          <w:color w:val="000000"/>
        </w:rPr>
      </w:pPr>
      <w:r>
        <w:rPr>
          <w:rFonts w:eastAsia="Times New Roman" w:cs="Times New Roman"/>
          <w:color w:val="000000"/>
        </w:rPr>
        <w:t xml:space="preserve">Although my daughter didn’t win, she did help expose one of the worst pieces of advice I have ever given. In my defence, I did what we’ve all done before, which is repeat received wisdom without exploring the </w:t>
      </w:r>
      <w:r>
        <w:rPr>
          <w:rFonts w:eastAsia="Times New Roman" w:cs="Times New Roman"/>
          <w:color w:val="000000"/>
          <w:u w:val="single"/>
        </w:rPr>
        <w:t>nuances</w:t>
      </w:r>
      <w:r>
        <w:rPr>
          <w:rFonts w:eastAsia="Times New Roman" w:cs="Times New Roman"/>
          <w:color w:val="000000"/>
        </w:rPr>
        <w:t xml:space="preserve">. But now is the time to set the record straight, which starts with questioning the idea that all social comparison is unhealthy. </w:t>
      </w:r>
    </w:p>
    <w:p w14:paraId="1D4E3F2F" w14:textId="77777777" w:rsidR="005150AD" w:rsidRDefault="00000000">
      <w:pPr>
        <w:spacing w:line="360" w:lineRule="auto"/>
        <w:ind w:firstLine="420"/>
        <w:jc w:val="left"/>
        <w:textAlignment w:val="center"/>
        <w:rPr>
          <w:color w:val="000000"/>
        </w:rPr>
      </w:pPr>
      <w:r>
        <w:rPr>
          <w:rFonts w:eastAsia="Times New Roman" w:cs="Times New Roman"/>
          <w:color w:val="000000"/>
        </w:rPr>
        <w:t>Social comparisons do, of course, often get us into emotional trouble. But they can be harnessed (</w:t>
      </w:r>
      <w:r>
        <w:rPr>
          <w:rFonts w:ascii="SimSun" w:hAnsi="SimSun"/>
          <w:color w:val="000000"/>
        </w:rPr>
        <w:t>利用</w:t>
      </w:r>
      <w:r>
        <w:rPr>
          <w:rFonts w:eastAsia="Times New Roman" w:cs="Times New Roman"/>
          <w:color w:val="000000"/>
        </w:rPr>
        <w:t>) for our betterment if we understand how they work. The social comparisons we make — ones that lead us to feel good or bad about ourselves — are vital to our ability to thrive (</w:t>
      </w:r>
      <w:r>
        <w:rPr>
          <w:rFonts w:ascii="SimSun" w:hAnsi="SimSun"/>
          <w:color w:val="000000"/>
        </w:rPr>
        <w:t>成长</w:t>
      </w:r>
      <w:r>
        <w:rPr>
          <w:rFonts w:eastAsia="Times New Roman" w:cs="Times New Roman"/>
          <w:color w:val="000000"/>
        </w:rPr>
        <w:t xml:space="preserve">). Science provides a guide we can use to harness the way we perform these comparisons to reduce their negative emotional impacts. </w:t>
      </w:r>
    </w:p>
    <w:p w14:paraId="5DDAB63B" w14:textId="77777777" w:rsidR="005150AD" w:rsidRDefault="00000000">
      <w:pPr>
        <w:spacing w:line="360" w:lineRule="auto"/>
        <w:ind w:firstLine="420"/>
        <w:jc w:val="left"/>
        <w:textAlignment w:val="center"/>
        <w:rPr>
          <w:color w:val="000000"/>
        </w:rPr>
      </w:pPr>
      <w:r>
        <w:rPr>
          <w:rFonts w:eastAsia="Times New Roman" w:cs="Times New Roman"/>
          <w:color w:val="000000"/>
        </w:rPr>
        <w:t>Comparing yourself with someone who is outperforming you could result in feelings of envy if you focus on the things they have and you don’t, or it can be energizing and inspiring if you use these comparisons as a source of motivation, for example, “If they can achieve that, so can I.” Comparing yourself with someone who is doing worse than you could result in fear and worry if you think about how you could fall into similar circumstances, or it can draw out feelings of gratitude and appreciation if you use that comparison to broaden your views — for example, “Wow, things could be much worse; I’m doing great.”</w:t>
      </w:r>
    </w:p>
    <w:p w14:paraId="2A8DCC34" w14:textId="77777777" w:rsidR="005150AD" w:rsidRDefault="00000000">
      <w:pPr>
        <w:spacing w:line="360" w:lineRule="auto"/>
        <w:ind w:firstLine="420"/>
        <w:jc w:val="left"/>
        <w:textAlignment w:val="center"/>
        <w:rPr>
          <w:color w:val="000000"/>
        </w:rPr>
      </w:pPr>
      <w:r>
        <w:rPr>
          <w:rFonts w:eastAsia="Times New Roman" w:cs="Times New Roman"/>
          <w:color w:val="000000"/>
        </w:rPr>
        <w:t xml:space="preserve">What I wish I taught my daughter earlier are these nuances. How we feel about ourselves rests not just on whom we compare ourselves with but also on how we think about that </w:t>
      </w:r>
      <w:r>
        <w:rPr>
          <w:rFonts w:eastAsia="Times New Roman" w:cs="Times New Roman"/>
          <w:color w:val="000000"/>
        </w:rPr>
        <w:lastRenderedPageBreak/>
        <w:t>comparison. That’s something we all have control over.</w:t>
      </w:r>
    </w:p>
    <w:p w14:paraId="291D8EC4" w14:textId="77777777" w:rsidR="005B6933" w:rsidRDefault="005B6933">
      <w:pPr>
        <w:spacing w:line="360" w:lineRule="auto"/>
        <w:jc w:val="center"/>
        <w:textAlignment w:val="center"/>
        <w:rPr>
          <w:color w:val="000000"/>
        </w:rPr>
      </w:pPr>
    </w:p>
    <w:p w14:paraId="44BE4607" w14:textId="77777777" w:rsidR="005B6933" w:rsidRDefault="005B6933">
      <w:pPr>
        <w:spacing w:line="360" w:lineRule="auto"/>
        <w:jc w:val="center"/>
        <w:textAlignment w:val="center"/>
        <w:rPr>
          <w:color w:val="000000"/>
        </w:rPr>
      </w:pPr>
    </w:p>
    <w:p w14:paraId="2E13F19E" w14:textId="77777777" w:rsidR="005B6933" w:rsidRDefault="005B6933">
      <w:pPr>
        <w:spacing w:line="360" w:lineRule="auto"/>
        <w:jc w:val="center"/>
        <w:textAlignment w:val="center"/>
        <w:rPr>
          <w:color w:val="000000"/>
        </w:rPr>
      </w:pPr>
    </w:p>
    <w:p w14:paraId="17061056" w14:textId="77777777" w:rsidR="005B6933" w:rsidRDefault="005B6933">
      <w:pPr>
        <w:spacing w:line="360" w:lineRule="auto"/>
        <w:jc w:val="center"/>
        <w:textAlignment w:val="center"/>
        <w:rPr>
          <w:color w:val="000000"/>
        </w:rPr>
      </w:pPr>
    </w:p>
    <w:p w14:paraId="4132C583" w14:textId="77777777" w:rsidR="005B6933" w:rsidRDefault="005B6933">
      <w:pPr>
        <w:spacing w:line="360" w:lineRule="auto"/>
        <w:jc w:val="center"/>
        <w:textAlignment w:val="center"/>
        <w:rPr>
          <w:color w:val="000000"/>
        </w:rPr>
      </w:pPr>
    </w:p>
    <w:p w14:paraId="6D3503C1" w14:textId="77777777" w:rsidR="005B6933" w:rsidRDefault="005B6933">
      <w:pPr>
        <w:spacing w:line="360" w:lineRule="auto"/>
        <w:jc w:val="center"/>
        <w:textAlignment w:val="center"/>
        <w:rPr>
          <w:color w:val="000000"/>
        </w:rPr>
      </w:pPr>
    </w:p>
    <w:p w14:paraId="419E6EBC" w14:textId="53CFFD4B" w:rsidR="005150AD" w:rsidRDefault="00000000">
      <w:pPr>
        <w:spacing w:line="360" w:lineRule="auto"/>
        <w:jc w:val="center"/>
        <w:textAlignment w:val="center"/>
        <w:rPr>
          <w:color w:val="000000"/>
        </w:rPr>
      </w:pPr>
      <w:r>
        <w:rPr>
          <w:rFonts w:eastAsia="Times New Roman" w:cs="Times New Roman"/>
          <w:b/>
          <w:color w:val="000000"/>
          <w:sz w:val="24"/>
        </w:rPr>
        <w:t>D</w:t>
      </w:r>
    </w:p>
    <w:p w14:paraId="760B0533" w14:textId="77777777" w:rsidR="005150AD" w:rsidRDefault="00000000">
      <w:pPr>
        <w:spacing w:line="360" w:lineRule="auto"/>
        <w:ind w:firstLine="420"/>
        <w:jc w:val="left"/>
        <w:textAlignment w:val="center"/>
        <w:rPr>
          <w:color w:val="000000"/>
        </w:rPr>
      </w:pPr>
      <w:r>
        <w:rPr>
          <w:rFonts w:eastAsia="Times New Roman" w:cs="Times New Roman"/>
          <w:color w:val="000000"/>
        </w:rPr>
        <w:t xml:space="preserve">The call to “know yourself” has been there since ancient times, but our sense of self doesn’t always match what others perceive. Considering the stories we tell about ourselves can help us to change our minds for better. </w:t>
      </w:r>
    </w:p>
    <w:p w14:paraId="1FD36CBE" w14:textId="77777777" w:rsidR="005150AD" w:rsidRDefault="00000000">
      <w:pPr>
        <w:spacing w:line="360" w:lineRule="auto"/>
        <w:ind w:firstLine="420"/>
        <w:jc w:val="left"/>
        <w:textAlignment w:val="center"/>
        <w:rPr>
          <w:color w:val="000000"/>
        </w:rPr>
      </w:pPr>
      <w:r>
        <w:rPr>
          <w:rFonts w:eastAsia="Times New Roman" w:cs="Times New Roman"/>
          <w:color w:val="000000"/>
        </w:rPr>
        <w:t>For many years</w:t>
      </w:r>
      <w:r>
        <w:rPr>
          <w:rFonts w:eastAsia="Times New Roman" w:cs="Times New Roman"/>
          <w:noProof/>
          <w:color w:val="000000"/>
          <w:position w:val="-22"/>
        </w:rPr>
        <w:drawing>
          <wp:inline distT="0" distB="0" distL="0" distR="0" wp14:anchorId="01004F41" wp14:editId="03ED2B36">
            <wp:extent cx="50800" cy="88900"/>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
                    <a:stretch>
                      <a:fillRect/>
                    </a:stretch>
                  </pic:blipFill>
                  <pic:spPr>
                    <a:xfrm>
                      <a:off x="0" y="0"/>
                      <a:ext cx="50800" cy="88900"/>
                    </a:xfrm>
                    <a:prstGeom prst="rect">
                      <a:avLst/>
                    </a:prstGeom>
                  </pic:spPr>
                </pic:pic>
              </a:graphicData>
            </a:graphic>
          </wp:inline>
        </w:drawing>
      </w:r>
      <w:r>
        <w:rPr>
          <w:rFonts w:eastAsia="Times New Roman" w:cs="Times New Roman"/>
          <w:color w:val="000000"/>
        </w:rPr>
        <w:t xml:space="preserve"> psychologists saw identity as a combination of someone’s values, beliefs, goals and social roles. Then, in the 1980s, Bob Johnson created the life story model of identity, in which he proposes that, as we go through life, these core features are built in with our memories to create a personal story through which we understand our lives. </w:t>
      </w:r>
    </w:p>
    <w:p w14:paraId="0CFF6834" w14:textId="77777777" w:rsidR="005150AD" w:rsidRDefault="00000000">
      <w:pPr>
        <w:spacing w:line="360" w:lineRule="auto"/>
        <w:ind w:firstLine="420"/>
        <w:jc w:val="left"/>
        <w:textAlignment w:val="center"/>
        <w:rPr>
          <w:color w:val="000000"/>
        </w:rPr>
      </w:pPr>
      <w:r>
        <w:rPr>
          <w:rFonts w:eastAsia="Times New Roman" w:cs="Times New Roman"/>
          <w:color w:val="000000"/>
        </w:rPr>
        <w:t xml:space="preserve">Our life story is something that starts coming together in our teenage years, when we begin to organise our lives into chapters around key events or life changes, and begin to see ourselves as both the central character and, to a varying extent, the story’s author. People with more consistent stories tend to have a stronger sense of identity, and they feel their life has more meaning, direction and sense of purpose. Such people show greater overall life satisfaction, too. </w:t>
      </w:r>
    </w:p>
    <w:p w14:paraId="3D4D48B1" w14:textId="77777777" w:rsidR="005150AD" w:rsidRDefault="00000000">
      <w:pPr>
        <w:spacing w:line="360" w:lineRule="auto"/>
        <w:ind w:firstLine="420"/>
        <w:jc w:val="left"/>
        <w:textAlignment w:val="center"/>
        <w:rPr>
          <w:color w:val="000000"/>
        </w:rPr>
      </w:pPr>
      <w:r>
        <w:rPr>
          <w:rFonts w:eastAsia="Times New Roman" w:cs="Times New Roman"/>
          <w:color w:val="000000"/>
        </w:rPr>
        <w:t xml:space="preserve">Johnson has also investigated the link between well-being and certain story themes. He discovered that whether someone describes having had some control over events in their past is an important predictor of a person’s mental health. Another key theme involves finding some kind of positive meaning after stressful events. “People could talk about gaining knowledge or personal growth,” says Johnson. His research shows that this is often missing for people with mental health conditions. The good news is that there is evidence we can learn to change our own story. </w:t>
      </w:r>
    </w:p>
    <w:p w14:paraId="58EA71CF" w14:textId="77777777" w:rsidR="005150AD" w:rsidRDefault="00000000">
      <w:pPr>
        <w:spacing w:line="360" w:lineRule="auto"/>
        <w:ind w:firstLine="420"/>
        <w:jc w:val="left"/>
        <w:textAlignment w:val="center"/>
        <w:rPr>
          <w:color w:val="000000"/>
        </w:rPr>
      </w:pPr>
      <w:r>
        <w:rPr>
          <w:rFonts w:eastAsia="Times New Roman" w:cs="Times New Roman"/>
          <w:color w:val="000000"/>
        </w:rPr>
        <w:t>Lisa Green, another researcher, sounds a few notes of caution (</w:t>
      </w:r>
      <w:r>
        <w:rPr>
          <w:rFonts w:ascii="SimSun" w:hAnsi="SimSun"/>
          <w:color w:val="000000"/>
        </w:rPr>
        <w:t>谨慎</w:t>
      </w:r>
      <w:r>
        <w:rPr>
          <w:rFonts w:eastAsia="Times New Roman" w:cs="Times New Roman"/>
          <w:color w:val="000000"/>
        </w:rPr>
        <w:t>). For instance, hearing about the power of redemptive (</w:t>
      </w:r>
      <w:r>
        <w:rPr>
          <w:rFonts w:ascii="SimSun" w:hAnsi="SimSun"/>
          <w:color w:val="000000"/>
        </w:rPr>
        <w:t>拯救性的</w:t>
      </w:r>
      <w:r>
        <w:rPr>
          <w:rFonts w:eastAsia="Times New Roman" w:cs="Times New Roman"/>
          <w:color w:val="000000"/>
        </w:rPr>
        <w:t xml:space="preserve">) stories, many people may feel forced to find a positive angle on horrible events. She says that Western culture already pushes people to look for the silver </w:t>
      </w:r>
      <w:r>
        <w:rPr>
          <w:rFonts w:eastAsia="Times New Roman" w:cs="Times New Roman"/>
          <w:color w:val="000000"/>
        </w:rPr>
        <w:lastRenderedPageBreak/>
        <w:t xml:space="preserve">lining behind every cloud. </w:t>
      </w:r>
    </w:p>
    <w:p w14:paraId="351D054A" w14:textId="77777777" w:rsidR="005150AD" w:rsidRDefault="00000000">
      <w:pPr>
        <w:spacing w:line="360" w:lineRule="auto"/>
        <w:ind w:firstLine="420"/>
        <w:jc w:val="left"/>
        <w:textAlignment w:val="center"/>
        <w:rPr>
          <w:color w:val="000000"/>
        </w:rPr>
      </w:pPr>
      <w:r>
        <w:rPr>
          <w:rFonts w:eastAsia="Times New Roman" w:cs="Times New Roman"/>
          <w:color w:val="000000"/>
        </w:rPr>
        <w:t>If you want to turn over a new leaf, though, one top tip is that it helps to choose a significant date that signals the start of a new “chapter”. Contrary to popular doubt, resolutions made on I January are more effective for this reason. So, whether your goal is saving money or getting fit, there is no better time to become the author of our own destiny (</w:t>
      </w:r>
      <w:r>
        <w:rPr>
          <w:rFonts w:ascii="SimSun" w:hAnsi="SimSun"/>
          <w:color w:val="000000"/>
        </w:rPr>
        <w:t>命运</w:t>
      </w:r>
      <w:r>
        <w:rPr>
          <w:rFonts w:eastAsia="Times New Roman" w:cs="Times New Roman"/>
          <w:color w:val="000000"/>
        </w:rPr>
        <w:t>).</w:t>
      </w:r>
    </w:p>
    <w:p w14:paraId="49B0EFA6" w14:textId="77777777" w:rsidR="005150AD" w:rsidRDefault="005150AD">
      <w:pPr>
        <w:pStyle w:val="Normal1"/>
      </w:pPr>
    </w:p>
    <w:p w14:paraId="67504FFD" w14:textId="77777777" w:rsidR="005B6933" w:rsidRDefault="005B6933">
      <w:pPr>
        <w:pStyle w:val="Normal1"/>
      </w:pPr>
    </w:p>
    <w:p w14:paraId="61B65559" w14:textId="77777777" w:rsidR="005B6933" w:rsidRDefault="005B6933">
      <w:pPr>
        <w:pStyle w:val="Normal1"/>
      </w:pPr>
    </w:p>
    <w:p w14:paraId="18A03FA4" w14:textId="77777777" w:rsidR="005B6933" w:rsidRDefault="005B6933">
      <w:pPr>
        <w:pStyle w:val="Normal1"/>
      </w:pPr>
    </w:p>
    <w:p w14:paraId="24B4B58E" w14:textId="77777777" w:rsidR="005B6933" w:rsidRDefault="005B6933">
      <w:pPr>
        <w:pStyle w:val="Normal1"/>
      </w:pPr>
    </w:p>
    <w:p w14:paraId="49DBB016" w14:textId="77777777" w:rsidR="005B6933" w:rsidRDefault="005B6933">
      <w:pPr>
        <w:pStyle w:val="Normal1"/>
      </w:pPr>
    </w:p>
    <w:p w14:paraId="533D6654" w14:textId="77777777" w:rsidR="005B6933" w:rsidRDefault="005B6933">
      <w:pPr>
        <w:pStyle w:val="Normal1"/>
      </w:pPr>
    </w:p>
    <w:p w14:paraId="02B203CA" w14:textId="77777777" w:rsidR="005B6933" w:rsidRDefault="005B6933">
      <w:pPr>
        <w:pStyle w:val="Normal1"/>
      </w:pPr>
    </w:p>
    <w:p w14:paraId="1EC0DD30" w14:textId="77777777" w:rsidR="005B6933" w:rsidRDefault="005B6933">
      <w:pPr>
        <w:pStyle w:val="Normal1"/>
      </w:pPr>
    </w:p>
    <w:p w14:paraId="54A0C217" w14:textId="77777777" w:rsidR="005B6933" w:rsidRDefault="005B6933">
      <w:pPr>
        <w:pStyle w:val="Normal1"/>
      </w:pPr>
    </w:p>
    <w:sectPr w:rsidR="005B6933">
      <w:headerReference w:type="default" r:id="rId9"/>
      <w:footerReference w:type="default" r:id="rId1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CA6DA" w14:textId="77777777" w:rsidR="002102B8" w:rsidRDefault="002102B8">
      <w:r>
        <w:separator/>
      </w:r>
    </w:p>
  </w:endnote>
  <w:endnote w:type="continuationSeparator" w:id="0">
    <w:p w14:paraId="7E935360" w14:textId="77777777" w:rsidR="002102B8" w:rsidRDefault="00210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D9308" w14:textId="77777777" w:rsidR="005150AD" w:rsidRDefault="00000000">
    <w:pPr>
      <w:jc w:val="center"/>
      <w:rPr>
        <w:sz w:val="20"/>
      </w:rPr>
    </w:pPr>
    <w:r>
      <w:rPr>
        <w:sz w:val="20"/>
      </w:rPr>
      <w:t>倒卖拉黑，淘宝唯一更新店铺</w:t>
    </w:r>
    <w:r>
      <w:rPr>
        <w:sz w:val="20"/>
      </w:rPr>
      <w:t>:</w:t>
    </w:r>
    <w:r>
      <w:rPr>
        <w:sz w:val="20"/>
      </w:rPr>
      <w:t>知二教育</w:t>
    </w:r>
    <w:r>
      <w:rPr>
        <w:sz w:val="20"/>
      </w:rPr>
      <w:t xml:space="preserve">  </w:t>
    </w:r>
    <w:r>
      <w:rPr>
        <w:sz w:val="20"/>
      </w:rPr>
      <w:t>售后更新</w:t>
    </w:r>
    <w:r>
      <w:rPr>
        <w:sz w:val="20"/>
      </w:rPr>
      <w:t>V</w:t>
    </w:r>
    <w:r>
      <w:rPr>
        <w:sz w:val="20"/>
      </w:rPr>
      <w:t>：</w:t>
    </w:r>
    <w:r>
      <w:rPr>
        <w:sz w:val="20"/>
      </w:rPr>
      <w:t>gcdzzgjyjt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8FD0F" w14:textId="77777777" w:rsidR="002102B8" w:rsidRDefault="002102B8">
      <w:r>
        <w:separator/>
      </w:r>
    </w:p>
  </w:footnote>
  <w:footnote w:type="continuationSeparator" w:id="0">
    <w:p w14:paraId="37CBCA0D" w14:textId="77777777" w:rsidR="002102B8" w:rsidRDefault="002102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A0019" w14:textId="77777777" w:rsidR="005150AD" w:rsidRDefault="00000000">
    <w:pPr>
      <w:jc w:val="center"/>
      <w:rPr>
        <w:sz w:val="20"/>
      </w:rPr>
    </w:pPr>
    <w:r>
      <w:rPr>
        <w:sz w:val="20"/>
      </w:rPr>
      <w:t>倒卖拉黑，淘宝唯一更新店铺</w:t>
    </w:r>
    <w:r>
      <w:rPr>
        <w:sz w:val="20"/>
      </w:rPr>
      <w:t>:</w:t>
    </w:r>
    <w:r>
      <w:rPr>
        <w:sz w:val="20"/>
      </w:rPr>
      <w:t>知二教育</w:t>
    </w:r>
    <w:r>
      <w:rPr>
        <w:sz w:val="20"/>
      </w:rPr>
      <w:t xml:space="preserve">  </w:t>
    </w:r>
    <w:r>
      <w:rPr>
        <w:sz w:val="20"/>
      </w:rPr>
      <w:t>售后更新</w:t>
    </w:r>
    <w:r>
      <w:rPr>
        <w:sz w:val="20"/>
      </w:rPr>
      <w:t>V</w:t>
    </w:r>
    <w:r>
      <w:rPr>
        <w:sz w:val="20"/>
      </w:rPr>
      <w:t>：</w:t>
    </w:r>
    <w:r>
      <w:rPr>
        <w:sz w:val="20"/>
      </w:rPr>
      <w:t>gcdzzgjyjt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13609014">
      <w:start w:val="1"/>
      <w:numFmt w:val="bullet"/>
      <w:lvlText w:val=""/>
      <w:lvlJc w:val="left"/>
      <w:pPr>
        <w:ind w:left="420" w:hanging="420"/>
      </w:pPr>
      <w:rPr>
        <w:rFonts w:ascii="Wingdings" w:hAnsi="Wingdings" w:hint="default"/>
      </w:rPr>
    </w:lvl>
    <w:lvl w:ilvl="1" w:tplc="FAD6889C" w:tentative="1">
      <w:start w:val="1"/>
      <w:numFmt w:val="bullet"/>
      <w:lvlText w:val=""/>
      <w:lvlJc w:val="left"/>
      <w:pPr>
        <w:ind w:left="840" w:hanging="420"/>
      </w:pPr>
      <w:rPr>
        <w:rFonts w:ascii="Wingdings" w:hAnsi="Wingdings" w:hint="default"/>
      </w:rPr>
    </w:lvl>
    <w:lvl w:ilvl="2" w:tplc="6C845F18" w:tentative="1">
      <w:start w:val="1"/>
      <w:numFmt w:val="bullet"/>
      <w:lvlText w:val=""/>
      <w:lvlJc w:val="left"/>
      <w:pPr>
        <w:ind w:left="1260" w:hanging="420"/>
      </w:pPr>
      <w:rPr>
        <w:rFonts w:ascii="Wingdings" w:hAnsi="Wingdings" w:hint="default"/>
      </w:rPr>
    </w:lvl>
    <w:lvl w:ilvl="3" w:tplc="89504862" w:tentative="1">
      <w:start w:val="1"/>
      <w:numFmt w:val="bullet"/>
      <w:lvlText w:val=""/>
      <w:lvlJc w:val="left"/>
      <w:pPr>
        <w:ind w:left="1680" w:hanging="420"/>
      </w:pPr>
      <w:rPr>
        <w:rFonts w:ascii="Wingdings" w:hAnsi="Wingdings" w:hint="default"/>
      </w:rPr>
    </w:lvl>
    <w:lvl w:ilvl="4" w:tplc="4C1C55E6" w:tentative="1">
      <w:start w:val="1"/>
      <w:numFmt w:val="bullet"/>
      <w:lvlText w:val=""/>
      <w:lvlJc w:val="left"/>
      <w:pPr>
        <w:ind w:left="2100" w:hanging="420"/>
      </w:pPr>
      <w:rPr>
        <w:rFonts w:ascii="Wingdings" w:hAnsi="Wingdings" w:hint="default"/>
      </w:rPr>
    </w:lvl>
    <w:lvl w:ilvl="5" w:tplc="DD5CD02C" w:tentative="1">
      <w:start w:val="1"/>
      <w:numFmt w:val="bullet"/>
      <w:lvlText w:val=""/>
      <w:lvlJc w:val="left"/>
      <w:pPr>
        <w:ind w:left="2520" w:hanging="420"/>
      </w:pPr>
      <w:rPr>
        <w:rFonts w:ascii="Wingdings" w:hAnsi="Wingdings" w:hint="default"/>
      </w:rPr>
    </w:lvl>
    <w:lvl w:ilvl="6" w:tplc="B51EC856" w:tentative="1">
      <w:start w:val="1"/>
      <w:numFmt w:val="bullet"/>
      <w:lvlText w:val=""/>
      <w:lvlJc w:val="left"/>
      <w:pPr>
        <w:ind w:left="2940" w:hanging="420"/>
      </w:pPr>
      <w:rPr>
        <w:rFonts w:ascii="Wingdings" w:hAnsi="Wingdings" w:hint="default"/>
      </w:rPr>
    </w:lvl>
    <w:lvl w:ilvl="7" w:tplc="1B504AFC" w:tentative="1">
      <w:start w:val="1"/>
      <w:numFmt w:val="bullet"/>
      <w:lvlText w:val=""/>
      <w:lvlJc w:val="left"/>
      <w:pPr>
        <w:ind w:left="3360" w:hanging="420"/>
      </w:pPr>
      <w:rPr>
        <w:rFonts w:ascii="Wingdings" w:hAnsi="Wingdings" w:hint="default"/>
      </w:rPr>
    </w:lvl>
    <w:lvl w:ilvl="8" w:tplc="34D676F4" w:tentative="1">
      <w:start w:val="1"/>
      <w:numFmt w:val="bullet"/>
      <w:lvlText w:val=""/>
      <w:lvlJc w:val="left"/>
      <w:pPr>
        <w:ind w:left="3780" w:hanging="420"/>
      </w:pPr>
      <w:rPr>
        <w:rFonts w:ascii="Wingdings" w:hAnsi="Wingdings" w:hint="default"/>
      </w:rPr>
    </w:lvl>
  </w:abstractNum>
  <w:num w:numId="1" w16cid:durableId="1879589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02B8"/>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150AD"/>
    <w:rsid w:val="00550C9E"/>
    <w:rsid w:val="00567E50"/>
    <w:rsid w:val="0059145F"/>
    <w:rsid w:val="00596076"/>
    <w:rsid w:val="005B39DB"/>
    <w:rsid w:val="005B6933"/>
    <w:rsid w:val="005C2124"/>
    <w:rsid w:val="005F1362"/>
    <w:rsid w:val="00605626"/>
    <w:rsid w:val="006071D5"/>
    <w:rsid w:val="0062039B"/>
    <w:rsid w:val="00623C16"/>
    <w:rsid w:val="00637D3A"/>
    <w:rsid w:val="00640BF5"/>
    <w:rsid w:val="00657AA5"/>
    <w:rsid w:val="006B21A4"/>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3D00CD"/>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SimSun"/>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basedOn w:val="DefaultParagraphFont"/>
    <w:link w:val="Header"/>
    <w:uiPriority w:val="99"/>
    <w:rsid w:val="003102DB"/>
    <w:rPr>
      <w:kern w:val="2"/>
      <w:sz w:val="18"/>
      <w:szCs w:val="24"/>
    </w:rPr>
  </w:style>
  <w:style w:type="paragraph" w:styleId="NoSpacing">
    <w:name w:val="No Spacing"/>
    <w:uiPriority w:val="1"/>
    <w:qFormat/>
    <w:rsid w:val="003102DB"/>
    <w:rPr>
      <w:rFonts w:asciiTheme="minorHAnsi" w:eastAsia="Microsoft YaHei U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 w:type="paragraph" w:customStyle="1" w:styleId="Normal0">
    <w:name w:val="Normal_0"/>
    <w:unhideWhenUsed/>
    <w:qFormat/>
    <w:pPr>
      <w:widowControl w:val="0"/>
      <w:jc w:val="both"/>
    </w:pPr>
    <w:rPr>
      <w:rFonts w:ascii="Calibri" w:hAnsi="Calibri" w:cs="Times New Roman"/>
      <w:kern w:val="2"/>
      <w:szCs w:val="24"/>
    </w:rPr>
  </w:style>
  <w:style w:type="character" w:customStyle="1" w:styleId="Hyperlink0">
    <w:name w:val="Hyperlink_0"/>
    <w:basedOn w:val="DefaultParagraphFont"/>
    <w:unhideWhenUsed/>
    <w:qFormat/>
    <w:rPr>
      <w:color w:val="0000FF"/>
      <w:sz w:val="24"/>
      <w:szCs w:val="24"/>
      <w:u w:val="single"/>
    </w:rPr>
  </w:style>
  <w:style w:type="paragraph" w:customStyle="1" w:styleId="Normal1">
    <w:name w:val="Normal_1"/>
    <w:qFormat/>
    <w:pPr>
      <w:widowControl w:val="0"/>
      <w:jc w:val="both"/>
    </w:pPr>
    <w:rPr>
      <w:rFonts w:cs="Times New Roman"/>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680</Words>
  <Characters>3878</Characters>
  <Application>Microsoft Office Word</Application>
  <DocSecurity>0</DocSecurity>
  <Lines>32</Lines>
  <Paragraphs>9</Paragraphs>
  <ScaleCrop>false</ScaleCrop>
  <Company>学科网 www.zxxk.com</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3778948427210752</dc:description>
  <cp:lastModifiedBy>666 666</cp:lastModifiedBy>
  <cp:revision>10</cp:revision>
  <dcterms:created xsi:type="dcterms:W3CDTF">2025-06-18T21:10:00Z</dcterms:created>
  <dcterms:modified xsi:type="dcterms:W3CDTF">2026-10-01T01:46:00Z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