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61DDC" w14:textId="77777777" w:rsidR="003D4B1C" w:rsidRDefault="00000000">
      <w:pPr>
        <w:spacing w:line="360" w:lineRule="auto"/>
      </w:pPr>
      <w:r>
        <w:rPr>
          <w:noProof/>
        </w:rPr>
        <w:drawing>
          <wp:anchor distT="0" distB="0" distL="114300" distR="114300" simplePos="0" relativeHeight="251658240" behindDoc="0" locked="0" layoutInCell="1" allowOverlap="1" wp14:anchorId="142C18E8" wp14:editId="7AC43C7E">
            <wp:simplePos x="0" y="0"/>
            <wp:positionH relativeFrom="page">
              <wp:posOffset>11125200</wp:posOffset>
            </wp:positionH>
            <wp:positionV relativeFrom="topMargin">
              <wp:posOffset>10299700</wp:posOffset>
            </wp:positionV>
            <wp:extent cx="482600" cy="457200"/>
            <wp:effectExtent l="0" t="0" r="1270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7"/>
                    <a:stretch>
                      <a:fillRect/>
                    </a:stretch>
                  </pic:blipFill>
                  <pic:spPr>
                    <a:xfrm>
                      <a:off x="0" y="0"/>
                      <a:ext cx="482600" cy="457200"/>
                    </a:xfrm>
                    <a:prstGeom prst="rect">
                      <a:avLst/>
                    </a:prstGeom>
                  </pic:spPr>
                </pic:pic>
              </a:graphicData>
            </a:graphic>
          </wp:anchor>
        </w:drawing>
      </w:r>
    </w:p>
    <w:p w14:paraId="07144064" w14:textId="77777777" w:rsidR="003D4B1C" w:rsidRDefault="003D4B1C">
      <w:pPr>
        <w:spacing w:line="360" w:lineRule="auto"/>
      </w:pPr>
    </w:p>
    <w:p w14:paraId="2EF6EA09" w14:textId="77777777" w:rsidR="003D4B1C" w:rsidRDefault="00000000">
      <w:pPr>
        <w:spacing w:line="360" w:lineRule="auto"/>
        <w:jc w:val="center"/>
      </w:pPr>
      <w:r>
        <w:rPr>
          <w:rFonts w:eastAsia="Times New Roman" w:cs="Times New Roman"/>
          <w:b/>
          <w:sz w:val="32"/>
        </w:rPr>
        <w:t>2023</w:t>
      </w:r>
      <w:r>
        <w:rPr>
          <w:rFonts w:ascii="SimSun" w:hAnsi="SimSun"/>
          <w:b/>
          <w:sz w:val="32"/>
        </w:rPr>
        <w:t>年普通高等学校招生全国统一考试</w:t>
      </w:r>
      <w:r>
        <w:rPr>
          <w:rFonts w:eastAsia="Times New Roman" w:cs="Times New Roman"/>
          <w:b/>
          <w:sz w:val="32"/>
        </w:rPr>
        <w:t>(</w:t>
      </w:r>
      <w:r>
        <w:rPr>
          <w:rFonts w:ascii="SimSun" w:hAnsi="SimSun"/>
          <w:b/>
          <w:sz w:val="32"/>
        </w:rPr>
        <w:t>新课标全国Ⅰ卷</w:t>
      </w:r>
      <w:r>
        <w:rPr>
          <w:rFonts w:eastAsia="Times New Roman" w:cs="Times New Roman"/>
          <w:b/>
          <w:sz w:val="32"/>
        </w:rPr>
        <w:t>)</w:t>
      </w:r>
    </w:p>
    <w:p w14:paraId="5D557864" w14:textId="77777777" w:rsidR="00F17F3A" w:rsidRDefault="00F17F3A">
      <w:pPr>
        <w:spacing w:line="360" w:lineRule="auto"/>
        <w:jc w:val="center"/>
        <w:textAlignment w:val="center"/>
        <w:rPr>
          <w:rFonts w:ascii="SimSun" w:hAnsi="SimSun"/>
          <w:b/>
          <w:sz w:val="32"/>
        </w:rPr>
      </w:pPr>
    </w:p>
    <w:p w14:paraId="002E5338" w14:textId="77777777" w:rsidR="00F17F3A" w:rsidRDefault="00F17F3A">
      <w:pPr>
        <w:spacing w:line="360" w:lineRule="auto"/>
        <w:jc w:val="center"/>
        <w:textAlignment w:val="center"/>
        <w:rPr>
          <w:rFonts w:ascii="SimSun" w:hAnsi="SimSun"/>
          <w:b/>
          <w:sz w:val="32"/>
        </w:rPr>
      </w:pPr>
    </w:p>
    <w:p w14:paraId="578CB3F8" w14:textId="77777777" w:rsidR="00F17F3A" w:rsidRDefault="00F17F3A">
      <w:pPr>
        <w:spacing w:line="360" w:lineRule="auto"/>
        <w:jc w:val="center"/>
        <w:textAlignment w:val="center"/>
        <w:rPr>
          <w:rFonts w:ascii="SimSun" w:hAnsi="SimSun"/>
          <w:b/>
          <w:sz w:val="32"/>
        </w:rPr>
      </w:pPr>
    </w:p>
    <w:p w14:paraId="17695A94" w14:textId="77777777" w:rsidR="00F17F3A" w:rsidRDefault="00F17F3A">
      <w:pPr>
        <w:spacing w:line="360" w:lineRule="auto"/>
        <w:jc w:val="center"/>
        <w:textAlignment w:val="center"/>
        <w:rPr>
          <w:rFonts w:ascii="SimSun" w:hAnsi="SimSun"/>
          <w:b/>
          <w:sz w:val="32"/>
        </w:rPr>
      </w:pPr>
    </w:p>
    <w:p w14:paraId="72297083" w14:textId="77777777" w:rsidR="00F17F3A" w:rsidRDefault="00F17F3A">
      <w:pPr>
        <w:spacing w:line="360" w:lineRule="auto"/>
        <w:jc w:val="center"/>
        <w:textAlignment w:val="center"/>
        <w:rPr>
          <w:rFonts w:ascii="SimSun" w:hAnsi="SimSun"/>
          <w:b/>
          <w:sz w:val="32"/>
        </w:rPr>
      </w:pPr>
    </w:p>
    <w:p w14:paraId="397E691F" w14:textId="3FC48B86" w:rsidR="003D4B1C" w:rsidRDefault="00000000">
      <w:pPr>
        <w:spacing w:line="360" w:lineRule="auto"/>
        <w:jc w:val="center"/>
        <w:textAlignment w:val="center"/>
        <w:rPr>
          <w:color w:val="000000"/>
        </w:rPr>
      </w:pPr>
      <w:r>
        <w:rPr>
          <w:rFonts w:eastAsia="Times New Roman" w:cs="Times New Roman"/>
          <w:b/>
          <w:color w:val="000000"/>
          <w:sz w:val="24"/>
        </w:rPr>
        <w:t>C</w:t>
      </w:r>
    </w:p>
    <w:p w14:paraId="4193AFA4" w14:textId="77777777" w:rsidR="003D4B1C" w:rsidRDefault="00000000">
      <w:pPr>
        <w:spacing w:line="360" w:lineRule="auto"/>
        <w:ind w:firstLine="420"/>
        <w:textAlignment w:val="center"/>
        <w:rPr>
          <w:color w:val="000000"/>
        </w:rPr>
      </w:pPr>
      <w:r>
        <w:rPr>
          <w:rFonts w:eastAsia="Times New Roman" w:cs="Times New Roman"/>
          <w:color w:val="000000"/>
        </w:rPr>
        <w:t>The goal of this book is to make the case for digital minimalism, including a detailed exploration of what it asks and why it works, and then to teach you how to adopt this philosophy if you decide it’s right for you.</w:t>
      </w:r>
    </w:p>
    <w:p w14:paraId="59C5F733" w14:textId="77777777" w:rsidR="003D4B1C" w:rsidRDefault="00000000">
      <w:pPr>
        <w:spacing w:line="360" w:lineRule="auto"/>
        <w:ind w:firstLine="420"/>
        <w:textAlignment w:val="center"/>
        <w:rPr>
          <w:color w:val="000000"/>
        </w:rPr>
      </w:pPr>
      <w:r>
        <w:rPr>
          <w:rFonts w:eastAsia="Times New Roman" w:cs="Times New Roman"/>
          <w:color w:val="000000"/>
        </w:rPr>
        <w:t>To do so, I divided the book into two parts. In part one, I describe the philosophical foundations of digital minimalism, starting with an examination of the forces that are making so many people’s digital lives increasingly intolerable, before moving on to a detailed discussion of the digital minimalism philosophy.</w:t>
      </w:r>
    </w:p>
    <w:p w14:paraId="1AA94A74" w14:textId="77777777" w:rsidR="003D4B1C" w:rsidRDefault="00000000">
      <w:pPr>
        <w:spacing w:line="360" w:lineRule="auto"/>
        <w:ind w:firstLine="420"/>
        <w:textAlignment w:val="center"/>
        <w:rPr>
          <w:color w:val="000000"/>
        </w:rPr>
      </w:pPr>
      <w:r>
        <w:rPr>
          <w:rFonts w:eastAsia="Times New Roman" w:cs="Times New Roman"/>
          <w:color w:val="000000"/>
        </w:rPr>
        <w:t xml:space="preserve">Part one concludes by introducing my suggested method for adopting this philosophy: the digital </w:t>
      </w:r>
      <w:r>
        <w:rPr>
          <w:rFonts w:eastAsia="Times New Roman" w:cs="Times New Roman"/>
          <w:color w:val="000000"/>
          <w:u w:val="single"/>
        </w:rPr>
        <w:t>declutter</w:t>
      </w:r>
      <w:r>
        <w:rPr>
          <w:rFonts w:eastAsia="Times New Roman" w:cs="Times New Roman"/>
          <w:color w:val="000000"/>
        </w:rPr>
        <w:t>. This process requires you to step away from optional online activities for thirty days. At the end of the thirty days, you will then add back a small number of carefully chosen online activities that you believe will provide massive benefits to the things you value.</w:t>
      </w:r>
    </w:p>
    <w:p w14:paraId="6B99FF55" w14:textId="77777777" w:rsidR="003D4B1C" w:rsidRDefault="00000000">
      <w:pPr>
        <w:spacing w:line="360" w:lineRule="auto"/>
        <w:ind w:firstLine="420"/>
        <w:textAlignment w:val="center"/>
        <w:rPr>
          <w:color w:val="000000"/>
        </w:rPr>
      </w:pPr>
      <w:r>
        <w:rPr>
          <w:rFonts w:eastAsia="Times New Roman" w:cs="Times New Roman"/>
          <w:color w:val="000000"/>
        </w:rPr>
        <w:t>In the final chapter of part one, I’ll guide you through carrying out your own digital declutter. In doing so, I’ll draw on an experiment I ran in 2018 in which over 1,600 people agreed to perform a digital declutter. You’ll hear these participants’ stories and learn what strategies worked well for them, and what traps they encountered that you should avoid.</w:t>
      </w:r>
    </w:p>
    <w:p w14:paraId="0DE54CC1" w14:textId="77777777" w:rsidR="003D4B1C" w:rsidRDefault="00000000">
      <w:pPr>
        <w:spacing w:line="360" w:lineRule="auto"/>
        <w:ind w:firstLine="420"/>
        <w:textAlignment w:val="center"/>
        <w:rPr>
          <w:color w:val="000000"/>
        </w:rPr>
      </w:pPr>
      <w:r>
        <w:rPr>
          <w:rFonts w:eastAsia="Times New Roman" w:cs="Times New Roman"/>
          <w:color w:val="000000"/>
        </w:rPr>
        <w:t>The second part of this book takes a closer look at some ideas that will help you cultivate (</w:t>
      </w:r>
      <w:r>
        <w:rPr>
          <w:rFonts w:ascii="SimSun" w:hAnsi="SimSun"/>
          <w:color w:val="000000"/>
        </w:rPr>
        <w:t>培养</w:t>
      </w:r>
      <w:r>
        <w:rPr>
          <w:rFonts w:eastAsia="Times New Roman" w:cs="Times New Roman"/>
          <w:color w:val="000000"/>
        </w:rPr>
        <w:t>) a sustainable digital minimalism lifestyle. In these chapters, I examine issues such as the importance of solitude (</w:t>
      </w:r>
      <w:r>
        <w:rPr>
          <w:rFonts w:ascii="SimSun" w:hAnsi="SimSun"/>
          <w:color w:val="000000"/>
        </w:rPr>
        <w:t>独处</w:t>
      </w:r>
      <w:r>
        <w:rPr>
          <w:rFonts w:eastAsia="Times New Roman" w:cs="Times New Roman"/>
          <w:color w:val="000000"/>
        </w:rPr>
        <w:t>) and the necessity of cultivating high-quality leisure to replace the time most now spend on mindless device use. Each chapter concludes with a collection of practices, which are designed to help you act on the big ideas of the chapter. You can view these practices as a toolbox meant to aid your efforts to build a minimalist lifestyle that works for your particular circumstances.</w:t>
      </w:r>
    </w:p>
    <w:p w14:paraId="18724714" w14:textId="77777777" w:rsidR="00F17F3A" w:rsidRDefault="00F17F3A">
      <w:pPr>
        <w:spacing w:line="360" w:lineRule="auto"/>
        <w:jc w:val="center"/>
        <w:textAlignment w:val="center"/>
        <w:rPr>
          <w:color w:val="000000"/>
        </w:rPr>
      </w:pPr>
    </w:p>
    <w:p w14:paraId="5005B5D2" w14:textId="77777777" w:rsidR="00F17F3A" w:rsidRDefault="00F17F3A">
      <w:pPr>
        <w:spacing w:line="360" w:lineRule="auto"/>
        <w:jc w:val="center"/>
        <w:textAlignment w:val="center"/>
        <w:rPr>
          <w:color w:val="000000"/>
        </w:rPr>
      </w:pPr>
    </w:p>
    <w:p w14:paraId="25765F06" w14:textId="77777777" w:rsidR="00F17F3A" w:rsidRDefault="00F17F3A">
      <w:pPr>
        <w:spacing w:line="360" w:lineRule="auto"/>
        <w:jc w:val="center"/>
        <w:textAlignment w:val="center"/>
        <w:rPr>
          <w:color w:val="000000"/>
        </w:rPr>
      </w:pPr>
    </w:p>
    <w:p w14:paraId="24B7957F" w14:textId="77777777" w:rsidR="00F17F3A" w:rsidRDefault="00F17F3A">
      <w:pPr>
        <w:spacing w:line="360" w:lineRule="auto"/>
        <w:jc w:val="center"/>
        <w:textAlignment w:val="center"/>
        <w:rPr>
          <w:color w:val="000000"/>
        </w:rPr>
      </w:pPr>
    </w:p>
    <w:p w14:paraId="35B46C23" w14:textId="77777777" w:rsidR="00F17F3A" w:rsidRDefault="00F17F3A">
      <w:pPr>
        <w:spacing w:line="360" w:lineRule="auto"/>
        <w:jc w:val="center"/>
        <w:textAlignment w:val="center"/>
        <w:rPr>
          <w:color w:val="000000"/>
        </w:rPr>
      </w:pPr>
    </w:p>
    <w:p w14:paraId="103CB932" w14:textId="77777777" w:rsidR="00F17F3A" w:rsidRDefault="00F17F3A">
      <w:pPr>
        <w:spacing w:line="360" w:lineRule="auto"/>
        <w:jc w:val="center"/>
        <w:textAlignment w:val="center"/>
        <w:rPr>
          <w:color w:val="000000"/>
        </w:rPr>
      </w:pPr>
    </w:p>
    <w:p w14:paraId="0D1D2694" w14:textId="77777777" w:rsidR="00F17F3A" w:rsidRDefault="00F17F3A">
      <w:pPr>
        <w:spacing w:line="360" w:lineRule="auto"/>
        <w:jc w:val="center"/>
        <w:textAlignment w:val="center"/>
        <w:rPr>
          <w:color w:val="000000"/>
        </w:rPr>
      </w:pPr>
    </w:p>
    <w:p w14:paraId="51BF10AC" w14:textId="77777777" w:rsidR="00F17F3A" w:rsidRDefault="00F17F3A">
      <w:pPr>
        <w:spacing w:line="360" w:lineRule="auto"/>
        <w:jc w:val="center"/>
        <w:textAlignment w:val="center"/>
        <w:rPr>
          <w:color w:val="000000"/>
        </w:rPr>
      </w:pPr>
    </w:p>
    <w:p w14:paraId="655E07A9" w14:textId="77777777" w:rsidR="00F17F3A" w:rsidRDefault="00F17F3A">
      <w:pPr>
        <w:spacing w:line="360" w:lineRule="auto"/>
        <w:jc w:val="center"/>
        <w:textAlignment w:val="center"/>
        <w:rPr>
          <w:color w:val="000000"/>
        </w:rPr>
      </w:pPr>
    </w:p>
    <w:p w14:paraId="63326752" w14:textId="77777777" w:rsidR="00F17F3A" w:rsidRDefault="00F17F3A">
      <w:pPr>
        <w:spacing w:line="360" w:lineRule="auto"/>
        <w:jc w:val="center"/>
        <w:textAlignment w:val="center"/>
        <w:rPr>
          <w:color w:val="000000"/>
        </w:rPr>
      </w:pPr>
    </w:p>
    <w:p w14:paraId="24271959" w14:textId="77777777" w:rsidR="00F17F3A" w:rsidRDefault="00F17F3A">
      <w:pPr>
        <w:spacing w:line="360" w:lineRule="auto"/>
        <w:jc w:val="center"/>
        <w:textAlignment w:val="center"/>
        <w:rPr>
          <w:color w:val="000000"/>
        </w:rPr>
      </w:pPr>
    </w:p>
    <w:p w14:paraId="38B43626" w14:textId="77777777" w:rsidR="00F17F3A" w:rsidRDefault="00F17F3A">
      <w:pPr>
        <w:spacing w:line="360" w:lineRule="auto"/>
        <w:jc w:val="center"/>
        <w:textAlignment w:val="center"/>
        <w:rPr>
          <w:color w:val="000000"/>
        </w:rPr>
      </w:pPr>
    </w:p>
    <w:p w14:paraId="543A7F7F" w14:textId="0B0422B5" w:rsidR="003D4B1C" w:rsidRDefault="00000000">
      <w:pPr>
        <w:spacing w:line="360" w:lineRule="auto"/>
        <w:jc w:val="center"/>
        <w:textAlignment w:val="center"/>
        <w:rPr>
          <w:color w:val="000000"/>
        </w:rPr>
      </w:pPr>
      <w:r>
        <w:rPr>
          <w:rFonts w:eastAsia="Times New Roman" w:cs="Times New Roman"/>
          <w:b/>
          <w:color w:val="000000"/>
          <w:sz w:val="24"/>
        </w:rPr>
        <w:t>D</w:t>
      </w:r>
    </w:p>
    <w:p w14:paraId="633A16A8" w14:textId="77777777" w:rsidR="003D4B1C" w:rsidRDefault="00000000">
      <w:pPr>
        <w:spacing w:line="360" w:lineRule="auto"/>
        <w:ind w:firstLine="420"/>
        <w:textAlignment w:val="center"/>
        <w:rPr>
          <w:color w:val="000000"/>
        </w:rPr>
      </w:pPr>
      <w:r>
        <w:rPr>
          <w:rFonts w:eastAsia="Times New Roman" w:cs="Times New Roman"/>
          <w:color w:val="000000"/>
        </w:rPr>
        <w:t>On March 7, 1907, the English statistician Francis Galton published a paper which illustrated what has come to be known as the “wisdom of crowds” effect. The experiment of estimation he conducted showed that in some cases, the average of a large number of independent estimates could be quite accurate.</w:t>
      </w:r>
    </w:p>
    <w:p w14:paraId="46841DF9" w14:textId="77777777" w:rsidR="003D4B1C" w:rsidRDefault="00000000">
      <w:pPr>
        <w:spacing w:line="360" w:lineRule="auto"/>
        <w:ind w:firstLine="420"/>
        <w:textAlignment w:val="center"/>
        <w:rPr>
          <w:color w:val="000000"/>
        </w:rPr>
      </w:pPr>
      <w:r>
        <w:rPr>
          <w:rFonts w:eastAsia="Times New Roman" w:cs="Times New Roman"/>
          <w:color w:val="000000"/>
        </w:rPr>
        <w:t>This effect capitalizes on the fact that when people make errors, those errors aren’t always the same. Some people will tend to overestimate, and some to underestimate. When enough of these errors are averaged together, they cancel each other out, resulting in a more accurate estimate. If people are similar and tend to make the same errors, then their errors won’t cancel each other out. In more technical terms, the wisdom of crowds requires that people’s estimates be independent. If for whatever reasons, people’s errors become correlated or dependent, the accuracy of the estimate will go down.</w:t>
      </w:r>
    </w:p>
    <w:p w14:paraId="557EA55C" w14:textId="77777777" w:rsidR="003D4B1C" w:rsidRDefault="00000000">
      <w:pPr>
        <w:spacing w:line="360" w:lineRule="auto"/>
        <w:ind w:firstLine="420"/>
        <w:textAlignment w:val="center"/>
        <w:rPr>
          <w:color w:val="000000"/>
        </w:rPr>
      </w:pPr>
      <w:r>
        <w:rPr>
          <w:rFonts w:eastAsia="Times New Roman" w:cs="Times New Roman"/>
          <w:color w:val="000000"/>
        </w:rPr>
        <w:t xml:space="preserve">But a new study led by Joaquin </w:t>
      </w:r>
      <w:proofErr w:type="spellStart"/>
      <w:r>
        <w:rPr>
          <w:rFonts w:eastAsia="Times New Roman" w:cs="Times New Roman"/>
          <w:color w:val="000000"/>
        </w:rPr>
        <w:t>Navajas</w:t>
      </w:r>
      <w:proofErr w:type="spellEnd"/>
      <w:r>
        <w:rPr>
          <w:rFonts w:eastAsia="Times New Roman" w:cs="Times New Roman"/>
          <w:color w:val="000000"/>
        </w:rPr>
        <w:t xml:space="preserve"> offered an interesting twist (</w:t>
      </w:r>
      <w:r>
        <w:rPr>
          <w:rFonts w:ascii="SimSun" w:hAnsi="SimSun"/>
          <w:color w:val="000000"/>
        </w:rPr>
        <w:t>转折</w:t>
      </w:r>
      <w:r>
        <w:rPr>
          <w:rFonts w:eastAsia="Times New Roman" w:cs="Times New Roman"/>
          <w:color w:val="000000"/>
        </w:rPr>
        <w:t>) on this classic phenomenon. The key finding of the study was that when crowds were further divided into smaller groups that were allowed to have a discussion, the averages from these groups were more accurate than those from an equal number of independent individuals. For instance, the average obtained from the estimates of four discussion groups of five was significantly more accurate than the average obtained from 20 independent individuals.</w:t>
      </w:r>
    </w:p>
    <w:p w14:paraId="769A9455" w14:textId="77777777" w:rsidR="003D4B1C" w:rsidRDefault="00000000">
      <w:pPr>
        <w:spacing w:line="360" w:lineRule="auto"/>
        <w:ind w:firstLine="420"/>
        <w:textAlignment w:val="center"/>
        <w:rPr>
          <w:color w:val="000000"/>
        </w:rPr>
      </w:pPr>
      <w:r>
        <w:rPr>
          <w:rFonts w:eastAsia="Times New Roman" w:cs="Times New Roman"/>
          <w:color w:val="000000"/>
        </w:rPr>
        <w:t xml:space="preserve">In a follow-up study with 100 university students, the researchers tried to get a better sense of what the group members actually did in their discussion. Did they tend to go with those most confident about their estimates? Did they follow those least willing to change their minds? This happened some of the time, but it wasn’t the dominant response. Most frequently, the groups reported that they “shared arguments and reasoned together”. Somehow, these arguments and reasoning resulted in a global reduction in error. Although the studies led by </w:t>
      </w:r>
      <w:proofErr w:type="spellStart"/>
      <w:r>
        <w:rPr>
          <w:rFonts w:eastAsia="Times New Roman" w:cs="Times New Roman"/>
          <w:color w:val="000000"/>
        </w:rPr>
        <w:t>Navajas</w:t>
      </w:r>
      <w:proofErr w:type="spellEnd"/>
      <w:r>
        <w:rPr>
          <w:rFonts w:eastAsia="Times New Roman" w:cs="Times New Roman"/>
          <w:color w:val="000000"/>
        </w:rPr>
        <w:t xml:space="preserve"> have limitations and many questions remain, the potential implications for group discussion and decision-making are enormous.</w:t>
      </w:r>
    </w:p>
    <w:p w14:paraId="541DBEC3" w14:textId="77777777" w:rsidR="003D4B1C" w:rsidRDefault="003D4B1C">
      <w:pPr>
        <w:rPr>
          <w:color w:val="000000"/>
        </w:rPr>
      </w:pPr>
    </w:p>
    <w:p w14:paraId="49227DE2" w14:textId="77777777" w:rsidR="00F17F3A" w:rsidRDefault="00F17F3A">
      <w:pPr>
        <w:rPr>
          <w:color w:val="000000"/>
        </w:rPr>
      </w:pPr>
    </w:p>
    <w:p w14:paraId="0E04427F" w14:textId="77777777" w:rsidR="00F17F3A" w:rsidRDefault="00F17F3A">
      <w:pPr>
        <w:rPr>
          <w:color w:val="000000"/>
        </w:rPr>
      </w:pPr>
    </w:p>
    <w:p w14:paraId="0F767A19" w14:textId="77777777" w:rsidR="00F17F3A" w:rsidRDefault="00F17F3A">
      <w:pPr>
        <w:rPr>
          <w:color w:val="000000"/>
        </w:rPr>
      </w:pPr>
    </w:p>
    <w:p w14:paraId="04E87F10" w14:textId="77777777" w:rsidR="00F17F3A" w:rsidRDefault="00F17F3A">
      <w:pPr>
        <w:rPr>
          <w:color w:val="000000"/>
        </w:rPr>
      </w:pPr>
    </w:p>
    <w:p w14:paraId="6E119AA1" w14:textId="77777777" w:rsidR="00F17F3A" w:rsidRDefault="00F17F3A">
      <w:pPr>
        <w:rPr>
          <w:color w:val="000000"/>
        </w:rPr>
      </w:pPr>
    </w:p>
    <w:p w14:paraId="4B1E7FAA" w14:textId="77777777" w:rsidR="00F17F3A" w:rsidRDefault="00F17F3A"/>
    <w:sectPr w:rsidR="00F17F3A">
      <w:footerReference w:type="default" r:id="rId8"/>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4585D" w14:textId="77777777" w:rsidR="008C6333" w:rsidRDefault="008C6333">
      <w:r>
        <w:separator/>
      </w:r>
    </w:p>
  </w:endnote>
  <w:endnote w:type="continuationSeparator" w:id="0">
    <w:p w14:paraId="627D2F51" w14:textId="77777777" w:rsidR="008C6333" w:rsidRDefault="008C6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22C34" w14:textId="54B3B9FA" w:rsidR="003D4B1C" w:rsidRDefault="00000000">
    <w:pPr>
      <w:jc w:val="center"/>
      <w:rPr>
        <w:sz w:val="20"/>
      </w:rPr>
    </w:pPr>
    <w:r>
      <w:rPr>
        <w:sz w:val="20"/>
      </w:rPr>
      <w:t>第</w:t>
    </w:r>
    <w:r>
      <w:rPr>
        <w:sz w:val="20"/>
      </w:rPr>
      <w:fldChar w:fldCharType="begin"/>
    </w:r>
    <w:r>
      <w:rPr>
        <w:sz w:val="20"/>
      </w:rPr>
      <w:instrText xml:space="preserve"> PAGE </w:instrText>
    </w:r>
    <w:r>
      <w:rPr>
        <w:sz w:val="20"/>
      </w:rPr>
      <w:fldChar w:fldCharType="separate"/>
    </w:r>
    <w:r w:rsidR="00F17F3A">
      <w:rPr>
        <w:noProof/>
        <w:sz w:val="20"/>
      </w:rPr>
      <w:t>13</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sidR="00F17F3A">
      <w:rPr>
        <w:noProof/>
        <w:sz w:val="20"/>
      </w:rPr>
      <w:t>13</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01D1D" w14:textId="77777777" w:rsidR="008C6333" w:rsidRDefault="008C6333">
      <w:r>
        <w:separator/>
      </w:r>
    </w:p>
  </w:footnote>
  <w:footnote w:type="continuationSeparator" w:id="0">
    <w:p w14:paraId="09F2ECA9" w14:textId="77777777" w:rsidR="008C6333" w:rsidRDefault="008C633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3D4B1C"/>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B21A4"/>
    <w:rsid w:val="006D5DE9"/>
    <w:rsid w:val="006F45E0"/>
    <w:rsid w:val="00701D6B"/>
    <w:rsid w:val="007061B2"/>
    <w:rsid w:val="00740A09"/>
    <w:rsid w:val="00762E26"/>
    <w:rsid w:val="00767F31"/>
    <w:rsid w:val="00817391"/>
    <w:rsid w:val="00832EC9"/>
    <w:rsid w:val="008634CD"/>
    <w:rsid w:val="008731FA"/>
    <w:rsid w:val="00880A38"/>
    <w:rsid w:val="00893DD6"/>
    <w:rsid w:val="008C6333"/>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17F3A"/>
    <w:rsid w:val="00F21C80"/>
    <w:rsid w:val="00F676FD"/>
    <w:rsid w:val="00F72514"/>
    <w:rsid w:val="00FA0944"/>
    <w:rsid w:val="00FB34D2"/>
    <w:rsid w:val="00FB4B17"/>
    <w:rsid w:val="00FC5860"/>
    <w:rsid w:val="00FD377B"/>
    <w:rsid w:val="00FF2D79"/>
    <w:rsid w:val="00FF517A"/>
    <w:rsid w:val="0B3A1CBD"/>
    <w:rsid w:val="38274566"/>
    <w:rsid w:val="570D7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50A074"/>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eastAsia="SimSu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Header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HeaderChar">
    <w:name w:val="Header Char"/>
    <w:basedOn w:val="DefaultParagraphFont"/>
    <w:link w:val="Header"/>
    <w:uiPriority w:val="99"/>
    <w:qFormat/>
    <w:rPr>
      <w:kern w:val="2"/>
      <w:sz w:val="18"/>
      <w:szCs w:val="24"/>
    </w:rPr>
  </w:style>
  <w:style w:type="paragraph" w:styleId="NoSpacing">
    <w:name w:val="No Spacing"/>
    <w:uiPriority w:val="1"/>
    <w:qFormat/>
    <w:rPr>
      <w:rFonts w:asciiTheme="minorHAnsi" w:eastAsia="Microsoft YaHei UI" w:hAnsiTheme="minorHAnsi" w:cstheme="minorBidi"/>
      <w:sz w:val="22"/>
      <w:szCs w:val="22"/>
    </w:rPr>
  </w:style>
  <w:style w:type="paragraph" w:styleId="ListParagraph">
    <w:name w:val="List Paragraph"/>
    <w:basedOn w:val="Normal"/>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602</Words>
  <Characters>3436</Characters>
  <Application>Microsoft Office Word</Application>
  <DocSecurity>0</DocSecurity>
  <Lines>28</Lines>
  <Paragraphs>8</Paragraphs>
  <ScaleCrop>false</ScaleCrop>
  <Manager>康伟旗舰店 kangwei.tmall.com</Manager>
  <Company>康伟旗舰店 kangwei.tmall.com</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2026-10-01T02:07:00Z</dcterms:created>
  <dcterms:modified xsi:type="dcterms:W3CDTF">2026-10-01T02:07:00Z</dcterms:modified>
  <cp:category>康伟旗舰店 kangwei.tmall.com</cp:category>
</cp:coreProperties>
</file>