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BB3819" w14:textId="77777777" w:rsidR="00FC5860" w:rsidRPr="00BE1BCD" w:rsidRDefault="00000000">
      <w:pPr>
        <w:spacing w:line="360" w:lineRule="auto"/>
      </w:pPr>
      <w:r w:rsidRPr="00BE1BCD">
        <w:rPr>
          <w:noProof/>
        </w:rPr>
        <w:drawing>
          <wp:anchor distT="0" distB="0" distL="114300" distR="114300" simplePos="0" relativeHeight="251658240" behindDoc="0" locked="0" layoutInCell="1" allowOverlap="1" wp14:anchorId="33DFF20D" wp14:editId="3155B7E9">
            <wp:simplePos x="0" y="0"/>
            <wp:positionH relativeFrom="page">
              <wp:posOffset>10579100</wp:posOffset>
            </wp:positionH>
            <wp:positionV relativeFrom="topMargin">
              <wp:posOffset>10960100</wp:posOffset>
            </wp:positionV>
            <wp:extent cx="406400" cy="3683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r:embed="rId8"/>
                    <a:stretch>
                      <a:fillRect/>
                    </a:stretch>
                  </pic:blipFill>
                  <pic:spPr>
                    <a:xfrm>
                      <a:off x="0" y="0"/>
                      <a:ext cx="406400" cy="368300"/>
                    </a:xfrm>
                    <a:prstGeom prst="rect">
                      <a:avLst/>
                    </a:prstGeom>
                  </pic:spPr>
                </pic:pic>
              </a:graphicData>
            </a:graphic>
          </wp:anchor>
        </w:drawing>
      </w:r>
    </w:p>
    <w:p w14:paraId="5F63F3EB" w14:textId="1A024DE6" w:rsidR="00FC5860" w:rsidRPr="00BE1BCD" w:rsidRDefault="00000000">
      <w:pPr>
        <w:spacing w:line="360" w:lineRule="auto"/>
        <w:jc w:val="center"/>
      </w:pPr>
      <w:r>
        <w:rPr>
          <w:rFonts w:eastAsia="Times New Roman" w:cs="Times New Roman"/>
          <w:b/>
          <w:sz w:val="32"/>
        </w:rPr>
        <w:t>2023</w:t>
      </w:r>
      <w:r>
        <w:rPr>
          <w:rFonts w:ascii="SimSun" w:hAnsi="SimSun"/>
          <w:b/>
          <w:sz w:val="32"/>
        </w:rPr>
        <w:t>年</w:t>
      </w:r>
      <w:r w:rsidR="00196F7F">
        <w:rPr>
          <w:rFonts w:ascii="SimSun" w:hAnsi="SimSun" w:hint="eastAsia"/>
          <w:b/>
          <w:sz w:val="32"/>
        </w:rPr>
        <w:t xml:space="preserve"> 浙江省 </w:t>
      </w:r>
      <w:r>
        <w:rPr>
          <w:rFonts w:eastAsia="Times New Roman" w:cs="Times New Roman"/>
          <w:b/>
          <w:sz w:val="32"/>
        </w:rPr>
        <w:t>1</w:t>
      </w:r>
      <w:r>
        <w:rPr>
          <w:rFonts w:ascii="SimSun" w:hAnsi="SimSun"/>
          <w:b/>
          <w:sz w:val="32"/>
        </w:rPr>
        <w:t>月普通高等学校招生全国统一考试</w:t>
      </w:r>
    </w:p>
    <w:p w14:paraId="10451589" w14:textId="77777777" w:rsidR="00196F7F" w:rsidRDefault="00196F7F">
      <w:pPr>
        <w:spacing w:line="360" w:lineRule="auto"/>
        <w:jc w:val="center"/>
        <w:textAlignment w:val="center"/>
        <w:rPr>
          <w:rFonts w:ascii="SimSun" w:hAnsi="SimSun"/>
          <w:b/>
          <w:sz w:val="32"/>
        </w:rPr>
      </w:pPr>
    </w:p>
    <w:p w14:paraId="55F416B4" w14:textId="77777777" w:rsidR="00196F7F" w:rsidRDefault="00196F7F">
      <w:pPr>
        <w:spacing w:line="360" w:lineRule="auto"/>
        <w:jc w:val="center"/>
        <w:textAlignment w:val="center"/>
        <w:rPr>
          <w:rFonts w:ascii="SimSun" w:hAnsi="SimSun"/>
          <w:b/>
          <w:sz w:val="32"/>
        </w:rPr>
      </w:pPr>
    </w:p>
    <w:p w14:paraId="011B040F" w14:textId="77777777" w:rsidR="00196F7F" w:rsidRDefault="00196F7F">
      <w:pPr>
        <w:spacing w:line="360" w:lineRule="auto"/>
        <w:jc w:val="center"/>
        <w:textAlignment w:val="center"/>
        <w:rPr>
          <w:rFonts w:ascii="SimSun" w:hAnsi="SimSun"/>
          <w:b/>
          <w:sz w:val="32"/>
        </w:rPr>
      </w:pPr>
    </w:p>
    <w:p w14:paraId="7618A839" w14:textId="77777777" w:rsidR="00196F7F" w:rsidRDefault="00196F7F">
      <w:pPr>
        <w:spacing w:line="360" w:lineRule="auto"/>
        <w:jc w:val="center"/>
        <w:textAlignment w:val="center"/>
        <w:rPr>
          <w:rFonts w:ascii="SimSun" w:hAnsi="SimSun"/>
          <w:b/>
          <w:sz w:val="32"/>
        </w:rPr>
      </w:pPr>
    </w:p>
    <w:p w14:paraId="0026ECF7" w14:textId="047776E3" w:rsidR="006849EE" w:rsidRDefault="00000000">
      <w:pPr>
        <w:spacing w:line="360" w:lineRule="auto"/>
        <w:jc w:val="center"/>
        <w:textAlignment w:val="center"/>
        <w:rPr>
          <w:color w:val="000000"/>
        </w:rPr>
      </w:pPr>
      <w:r>
        <w:rPr>
          <w:rFonts w:eastAsia="Times New Roman" w:cs="Times New Roman"/>
          <w:b/>
          <w:color w:val="000000"/>
          <w:sz w:val="24"/>
        </w:rPr>
        <w:t>C</w:t>
      </w:r>
    </w:p>
    <w:p w14:paraId="705D60EC" w14:textId="77777777" w:rsidR="006849EE" w:rsidRDefault="00000000">
      <w:pPr>
        <w:spacing w:line="360" w:lineRule="auto"/>
        <w:ind w:firstLine="420"/>
        <w:textAlignment w:val="center"/>
        <w:rPr>
          <w:color w:val="000000"/>
        </w:rPr>
      </w:pPr>
      <w:r>
        <w:rPr>
          <w:rFonts w:eastAsia="Times New Roman" w:cs="Times New Roman"/>
          <w:color w:val="000000"/>
        </w:rPr>
        <w:t xml:space="preserve">A machine can now not only beat you at chess, it can also outperform you in debate. Last week, in a public debate in San Francisco, a software program called Project Debater beat its human opponents, including Noa Ovadia, Israel’s former national debating champion. </w:t>
      </w:r>
    </w:p>
    <w:p w14:paraId="495C297C" w14:textId="77777777" w:rsidR="006849EE" w:rsidRDefault="00000000">
      <w:pPr>
        <w:spacing w:line="360" w:lineRule="auto"/>
        <w:ind w:firstLine="420"/>
        <w:textAlignment w:val="center"/>
        <w:rPr>
          <w:color w:val="000000"/>
        </w:rPr>
      </w:pPr>
      <w:r>
        <w:rPr>
          <w:rFonts w:eastAsia="Times New Roman" w:cs="Times New Roman"/>
          <w:color w:val="000000"/>
        </w:rPr>
        <w:t xml:space="preserve">Brilliant though it is, Project Debater has some weaknesses. It takes sentences from its library of documents and prebuilt arguments and strings them together. This can lead to the kinds of errors no human would make. Such </w:t>
      </w:r>
      <w:r>
        <w:rPr>
          <w:rFonts w:eastAsia="Times New Roman" w:cs="Times New Roman"/>
          <w:color w:val="000000"/>
          <w:u w:val="single"/>
        </w:rPr>
        <w:t>wrinkles</w:t>
      </w:r>
      <w:r>
        <w:rPr>
          <w:rFonts w:eastAsia="Times New Roman" w:cs="Times New Roman"/>
          <w:color w:val="000000"/>
        </w:rPr>
        <w:t xml:space="preserve"> will no doubt be ironed out, yet they also point to a fundamental problem. As Kristian Hammond, professor of electrical engineering and computer science at Northwestern University, put it: “There’s never a stage at which the system knows what it’s talking about.”</w:t>
      </w:r>
    </w:p>
    <w:p w14:paraId="6FB0438D" w14:textId="77777777" w:rsidR="006849EE" w:rsidRDefault="00000000">
      <w:pPr>
        <w:spacing w:line="360" w:lineRule="auto"/>
        <w:ind w:firstLine="420"/>
        <w:textAlignment w:val="center"/>
        <w:rPr>
          <w:color w:val="000000"/>
        </w:rPr>
      </w:pPr>
      <w:r>
        <w:rPr>
          <w:rFonts w:eastAsia="Times New Roman" w:cs="Times New Roman"/>
          <w:color w:val="000000"/>
        </w:rPr>
        <w:t xml:space="preserve">What Hammond is referring to is the question of meaning, and meaning is central to what distinguishes the least intelligent of humans from the most intelligent of machines. A computer works with symbols. Its program specifies a set of rules to transform one string of symbols into another. But it does not specify what those symbols mean. Indeed, to a computer, meaning is irrelevant. Humans, in thinking, talking, reading and writing, also work with symbols. But for humans, meaning is everything. When we communicate, we communicate meaning. What matters is not just the outside of a string of symbols, but the inside too, not just how they are arranged but what they mean. </w:t>
      </w:r>
    </w:p>
    <w:p w14:paraId="581C5954" w14:textId="77777777" w:rsidR="006849EE" w:rsidRDefault="00000000">
      <w:pPr>
        <w:spacing w:line="360" w:lineRule="auto"/>
        <w:ind w:firstLine="420"/>
        <w:textAlignment w:val="center"/>
        <w:rPr>
          <w:color w:val="000000"/>
        </w:rPr>
      </w:pPr>
      <w:r>
        <w:rPr>
          <w:rFonts w:eastAsia="Times New Roman" w:cs="Times New Roman"/>
          <w:color w:val="000000"/>
        </w:rPr>
        <w:t>Meaning emerges through a process of social interaction, not of computation, interaction that shapes the content of the symbols in our heads. The rules that assign meaning lie not just inside our heads, but also outside, in society, in social memory, social conventions and social relations. It is this that distinguishes humans from machines. And that’s why, however astonishing Project Debater may seem, the tradition that began with Socrates and Confucius will not end with artificial intelligence.</w:t>
      </w:r>
    </w:p>
    <w:p w14:paraId="667A2F99" w14:textId="77777777" w:rsidR="00196F7F" w:rsidRDefault="00196F7F">
      <w:pPr>
        <w:spacing w:line="360" w:lineRule="auto"/>
        <w:jc w:val="center"/>
        <w:textAlignment w:val="center"/>
        <w:rPr>
          <w:color w:val="000000"/>
        </w:rPr>
      </w:pPr>
    </w:p>
    <w:p w14:paraId="032B48B2" w14:textId="77777777" w:rsidR="00196F7F" w:rsidRDefault="00196F7F">
      <w:pPr>
        <w:spacing w:line="360" w:lineRule="auto"/>
        <w:jc w:val="center"/>
        <w:textAlignment w:val="center"/>
        <w:rPr>
          <w:color w:val="000000"/>
        </w:rPr>
      </w:pPr>
    </w:p>
    <w:p w14:paraId="76E97F99" w14:textId="77777777" w:rsidR="00196F7F" w:rsidRDefault="00196F7F">
      <w:pPr>
        <w:spacing w:line="360" w:lineRule="auto"/>
        <w:jc w:val="center"/>
        <w:textAlignment w:val="center"/>
        <w:rPr>
          <w:color w:val="000000"/>
        </w:rPr>
      </w:pPr>
    </w:p>
    <w:p w14:paraId="4CC2E93F" w14:textId="77777777" w:rsidR="00196F7F" w:rsidRDefault="00196F7F">
      <w:pPr>
        <w:spacing w:line="360" w:lineRule="auto"/>
        <w:jc w:val="center"/>
        <w:textAlignment w:val="center"/>
        <w:rPr>
          <w:color w:val="000000"/>
        </w:rPr>
      </w:pPr>
    </w:p>
    <w:p w14:paraId="4539EE00" w14:textId="77777777" w:rsidR="00196F7F" w:rsidRDefault="00196F7F">
      <w:pPr>
        <w:spacing w:line="360" w:lineRule="auto"/>
        <w:jc w:val="center"/>
        <w:textAlignment w:val="center"/>
        <w:rPr>
          <w:color w:val="000000"/>
        </w:rPr>
      </w:pPr>
    </w:p>
    <w:p w14:paraId="0576DCDB" w14:textId="77777777" w:rsidR="00196F7F" w:rsidRDefault="00196F7F">
      <w:pPr>
        <w:spacing w:line="360" w:lineRule="auto"/>
        <w:jc w:val="center"/>
        <w:textAlignment w:val="center"/>
        <w:rPr>
          <w:color w:val="000000"/>
        </w:rPr>
      </w:pPr>
    </w:p>
    <w:p w14:paraId="68F21083" w14:textId="77777777" w:rsidR="00196F7F" w:rsidRDefault="00196F7F">
      <w:pPr>
        <w:spacing w:line="360" w:lineRule="auto"/>
        <w:jc w:val="center"/>
        <w:textAlignment w:val="center"/>
        <w:rPr>
          <w:color w:val="000000"/>
        </w:rPr>
      </w:pPr>
    </w:p>
    <w:p w14:paraId="5654F240" w14:textId="77777777" w:rsidR="00196F7F" w:rsidRDefault="00196F7F">
      <w:pPr>
        <w:spacing w:line="360" w:lineRule="auto"/>
        <w:jc w:val="center"/>
        <w:textAlignment w:val="center"/>
        <w:rPr>
          <w:color w:val="000000"/>
        </w:rPr>
      </w:pPr>
    </w:p>
    <w:p w14:paraId="54C68E1D" w14:textId="77777777" w:rsidR="00196F7F" w:rsidRDefault="00196F7F">
      <w:pPr>
        <w:spacing w:line="360" w:lineRule="auto"/>
        <w:jc w:val="center"/>
        <w:textAlignment w:val="center"/>
        <w:rPr>
          <w:color w:val="000000"/>
        </w:rPr>
      </w:pPr>
    </w:p>
    <w:p w14:paraId="2A0B274C" w14:textId="13DE5DF0" w:rsidR="006849EE" w:rsidRDefault="00000000">
      <w:pPr>
        <w:spacing w:line="360" w:lineRule="auto"/>
        <w:jc w:val="center"/>
        <w:textAlignment w:val="center"/>
        <w:rPr>
          <w:color w:val="000000"/>
        </w:rPr>
      </w:pPr>
      <w:r>
        <w:rPr>
          <w:rFonts w:eastAsia="Times New Roman" w:cs="Times New Roman"/>
          <w:b/>
          <w:color w:val="000000"/>
          <w:sz w:val="24"/>
        </w:rPr>
        <w:t>D</w:t>
      </w:r>
    </w:p>
    <w:p w14:paraId="08EF6A07" w14:textId="77777777" w:rsidR="006849EE" w:rsidRDefault="00000000">
      <w:pPr>
        <w:spacing w:line="360" w:lineRule="auto"/>
        <w:ind w:firstLine="420"/>
        <w:textAlignment w:val="center"/>
        <w:rPr>
          <w:color w:val="000000"/>
        </w:rPr>
      </w:pPr>
      <w:r>
        <w:rPr>
          <w:rFonts w:eastAsia="Times New Roman" w:cs="Times New Roman"/>
          <w:color w:val="000000"/>
        </w:rPr>
        <w:t>According to the Solar Energy Industry Association, the number of solar panels installed(</w:t>
      </w:r>
      <w:r>
        <w:rPr>
          <w:rFonts w:ascii="SimSun" w:hAnsi="SimSun"/>
          <w:color w:val="000000"/>
        </w:rPr>
        <w:t>安装</w:t>
      </w:r>
      <w:r>
        <w:rPr>
          <w:rFonts w:eastAsia="Times New Roman" w:cs="Times New Roman"/>
          <w:color w:val="000000"/>
        </w:rPr>
        <w:t xml:space="preserve">)has grown rapidly in the past decade, and it has to grow even faster to meet climate goals. But all of that growth will take up a lot of space, and though more and more people accept the concept of solar energy, few like large solar panels to be installed near them. </w:t>
      </w:r>
    </w:p>
    <w:p w14:paraId="63C332BB" w14:textId="77777777" w:rsidR="006849EE" w:rsidRDefault="00000000">
      <w:pPr>
        <w:spacing w:line="360" w:lineRule="auto"/>
        <w:ind w:firstLine="420"/>
        <w:textAlignment w:val="center"/>
        <w:rPr>
          <w:color w:val="000000"/>
        </w:rPr>
      </w:pPr>
      <w:r>
        <w:rPr>
          <w:rFonts w:eastAsia="Times New Roman" w:cs="Times New Roman"/>
          <w:color w:val="000000"/>
        </w:rPr>
        <w:t xml:space="preserve">Solar developers want to put up panels as quickly and cheaply as possible, so they haven’t given much thought to what they put under them. Often, they’ll end up filling the area with small stones and using chemicals to control weeds. The result is that many communities, especially in farming regions, see solar farms as destroyers of the soil. </w:t>
      </w:r>
    </w:p>
    <w:p w14:paraId="527E25DF" w14:textId="77777777" w:rsidR="006849EE" w:rsidRDefault="00000000">
      <w:pPr>
        <w:spacing w:line="360" w:lineRule="auto"/>
        <w:ind w:firstLine="420"/>
        <w:textAlignment w:val="center"/>
        <w:rPr>
          <w:color w:val="000000"/>
        </w:rPr>
      </w:pPr>
      <w:r>
        <w:rPr>
          <w:rFonts w:eastAsia="Times New Roman" w:cs="Times New Roman"/>
          <w:color w:val="000000"/>
        </w:rPr>
        <w:t xml:space="preserve">“Solar projects need to be good neighbors,” says Jordan </w:t>
      </w:r>
      <w:proofErr w:type="spellStart"/>
      <w:r>
        <w:rPr>
          <w:rFonts w:eastAsia="Times New Roman" w:cs="Times New Roman"/>
          <w:color w:val="000000"/>
        </w:rPr>
        <w:t>Macknick</w:t>
      </w:r>
      <w:proofErr w:type="spellEnd"/>
      <w:r>
        <w:rPr>
          <w:rFonts w:eastAsia="Times New Roman" w:cs="Times New Roman"/>
          <w:color w:val="000000"/>
        </w:rPr>
        <w:t xml:space="preserve">, the head of the Innovative Site Preparation and Impact Reductions on the </w:t>
      </w:r>
      <w:proofErr w:type="gramStart"/>
      <w:r>
        <w:rPr>
          <w:rFonts w:eastAsia="Times New Roman" w:cs="Times New Roman"/>
          <w:color w:val="000000"/>
        </w:rPr>
        <w:t>Environment(</w:t>
      </w:r>
      <w:proofErr w:type="spellStart"/>
      <w:proofErr w:type="gramEnd"/>
      <w:r>
        <w:rPr>
          <w:rFonts w:eastAsia="Times New Roman" w:cs="Times New Roman"/>
          <w:color w:val="000000"/>
        </w:rPr>
        <w:t>InSPIRE</w:t>
      </w:r>
      <w:proofErr w:type="spellEnd"/>
      <w:r>
        <w:rPr>
          <w:rFonts w:eastAsia="Times New Roman" w:cs="Times New Roman"/>
          <w:color w:val="000000"/>
        </w:rPr>
        <w:t xml:space="preserve">)project. “They need to be protectors of the land and contribute to the agricultural economy.” </w:t>
      </w:r>
      <w:proofErr w:type="spellStart"/>
      <w:r>
        <w:rPr>
          <w:rFonts w:eastAsia="Times New Roman" w:cs="Times New Roman"/>
          <w:color w:val="000000"/>
        </w:rPr>
        <w:t>InSPIRE</w:t>
      </w:r>
      <w:proofErr w:type="spellEnd"/>
      <w:r>
        <w:rPr>
          <w:rFonts w:eastAsia="Times New Roman" w:cs="Times New Roman"/>
          <w:color w:val="000000"/>
        </w:rPr>
        <w:t xml:space="preserve"> is investigating practical approaches to “low-impact” solar development, which focuses on establishing and operating solar farms in a way that is kinder to the land. One of the easiest low-impact solar strategies is providing habitat for pollinators(</w:t>
      </w:r>
      <w:r>
        <w:rPr>
          <w:rFonts w:ascii="SimSun" w:hAnsi="SimSun"/>
          <w:color w:val="000000"/>
        </w:rPr>
        <w:t>传粉昆虫</w:t>
      </w:r>
      <w:r>
        <w:rPr>
          <w:rFonts w:eastAsia="Times New Roman" w:cs="Times New Roman"/>
          <w:color w:val="000000"/>
        </w:rPr>
        <w:t xml:space="preserve">). </w:t>
      </w:r>
    </w:p>
    <w:p w14:paraId="4C7FB21B" w14:textId="77777777" w:rsidR="006849EE" w:rsidRDefault="00000000">
      <w:pPr>
        <w:spacing w:line="360" w:lineRule="auto"/>
        <w:ind w:firstLine="420"/>
        <w:textAlignment w:val="center"/>
        <w:rPr>
          <w:color w:val="000000"/>
        </w:rPr>
      </w:pPr>
      <w:r>
        <w:rPr>
          <w:rFonts w:eastAsia="Times New Roman" w:cs="Times New Roman"/>
          <w:color w:val="000000"/>
        </w:rPr>
        <w:t xml:space="preserve">Habitat loss, pesticide use, and climate change have caused dramatic declines in pollinator populations over the past couple of decades, which has damaged the U.S. agricultural economy. Over 28 states have passed laws related to pollinator habitat protection and pesticide use. Conservation organizations put out pollinator-friendliness guidelines for home gardens, businesses, schools, cities—and now there are guidelines for solar farms. </w:t>
      </w:r>
    </w:p>
    <w:p w14:paraId="59E08455" w14:textId="77777777" w:rsidR="006849EE" w:rsidRDefault="00000000">
      <w:pPr>
        <w:spacing w:line="360" w:lineRule="auto"/>
        <w:ind w:firstLine="420"/>
        <w:textAlignment w:val="center"/>
        <w:rPr>
          <w:color w:val="000000"/>
        </w:rPr>
      </w:pPr>
      <w:r>
        <w:rPr>
          <w:rFonts w:eastAsia="Times New Roman" w:cs="Times New Roman"/>
          <w:color w:val="000000"/>
        </w:rPr>
        <w:t xml:space="preserve">Over the past few years, many solar farm developers have transformed the space under their solar panels into a shelter for various kinds of pollinators, resulting in soil improvement and carbon reduction. “These pollinator-friendly solar farms can have a valuable impact on everything that’s going on in the landscape,” says </w:t>
      </w:r>
      <w:proofErr w:type="spellStart"/>
      <w:r>
        <w:rPr>
          <w:rFonts w:eastAsia="Times New Roman" w:cs="Times New Roman"/>
          <w:color w:val="000000"/>
        </w:rPr>
        <w:t>Macknick</w:t>
      </w:r>
      <w:proofErr w:type="spellEnd"/>
      <w:r>
        <w:rPr>
          <w:rFonts w:eastAsia="Times New Roman" w:cs="Times New Roman"/>
          <w:color w:val="000000"/>
        </w:rPr>
        <w:t>.</w:t>
      </w:r>
    </w:p>
    <w:p w14:paraId="3931503C" w14:textId="77777777" w:rsidR="006849EE" w:rsidRDefault="006849EE">
      <w:pPr>
        <w:rPr>
          <w:color w:val="000000"/>
        </w:rPr>
      </w:pPr>
    </w:p>
    <w:p w14:paraId="61C2E57F" w14:textId="77777777" w:rsidR="00196F7F" w:rsidRDefault="00196F7F">
      <w:pPr>
        <w:rPr>
          <w:color w:val="000000"/>
        </w:rPr>
      </w:pPr>
    </w:p>
    <w:p w14:paraId="3294235D" w14:textId="77777777" w:rsidR="00196F7F" w:rsidRDefault="00196F7F">
      <w:pPr>
        <w:rPr>
          <w:color w:val="000000"/>
        </w:rPr>
      </w:pPr>
    </w:p>
    <w:p w14:paraId="1B869236" w14:textId="77777777" w:rsidR="00196F7F" w:rsidRDefault="00196F7F">
      <w:pPr>
        <w:rPr>
          <w:color w:val="000000"/>
        </w:rPr>
      </w:pPr>
    </w:p>
    <w:p w14:paraId="6B97925F" w14:textId="77777777" w:rsidR="00196F7F" w:rsidRDefault="00196F7F">
      <w:pPr>
        <w:rPr>
          <w:color w:val="000000"/>
        </w:rPr>
      </w:pPr>
    </w:p>
    <w:p w14:paraId="4C8A3A32" w14:textId="77777777" w:rsidR="00196F7F" w:rsidRDefault="00196F7F">
      <w:pPr>
        <w:rPr>
          <w:color w:val="000000"/>
        </w:rPr>
      </w:pPr>
    </w:p>
    <w:p w14:paraId="608A292A" w14:textId="77777777" w:rsidR="00196F7F" w:rsidRDefault="00196F7F">
      <w:pPr>
        <w:rPr>
          <w:color w:val="000000"/>
        </w:rPr>
      </w:pPr>
    </w:p>
    <w:p w14:paraId="2F784DC5" w14:textId="77777777" w:rsidR="00196F7F" w:rsidRDefault="00196F7F"/>
    <w:sectPr w:rsidR="00196F7F">
      <w:footerReference w:type="default" r:id="rId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4318FD" w14:textId="77777777" w:rsidR="00AB53BB" w:rsidRDefault="00AB53BB">
      <w:r>
        <w:separator/>
      </w:r>
    </w:p>
  </w:endnote>
  <w:endnote w:type="continuationSeparator" w:id="0">
    <w:p w14:paraId="55512227" w14:textId="77777777" w:rsidR="00AB53BB" w:rsidRDefault="00AB53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DF13AA" w14:textId="7E653756" w:rsidR="002E096A" w:rsidRDefault="00000000">
    <w:pPr>
      <w:jc w:val="center"/>
      <w:rPr>
        <w:sz w:val="20"/>
      </w:rPr>
    </w:pPr>
    <w:r>
      <w:rPr>
        <w:sz w:val="20"/>
      </w:rPr>
      <w:t>第</w:t>
    </w:r>
    <w:r>
      <w:rPr>
        <w:sz w:val="20"/>
      </w:rPr>
      <w:fldChar w:fldCharType="begin"/>
    </w:r>
    <w:r>
      <w:rPr>
        <w:sz w:val="20"/>
      </w:rPr>
      <w:instrText xml:space="preserve"> PAGE </w:instrText>
    </w:r>
    <w:r>
      <w:rPr>
        <w:sz w:val="20"/>
      </w:rPr>
      <w:fldChar w:fldCharType="separate"/>
    </w:r>
    <w:r w:rsidR="00196F7F">
      <w:rPr>
        <w:noProof/>
        <w:sz w:val="20"/>
      </w:rPr>
      <w:t>13</w:t>
    </w:r>
    <w:r>
      <w:rPr>
        <w:sz w:val="20"/>
      </w:rPr>
      <w:fldChar w:fldCharType="end"/>
    </w:r>
    <w:r>
      <w:rPr>
        <w:sz w:val="20"/>
      </w:rPr>
      <w:t>页</w:t>
    </w:r>
    <w:r>
      <w:rPr>
        <w:sz w:val="20"/>
      </w:rPr>
      <w:t xml:space="preserve"> | </w:t>
    </w:r>
    <w:r>
      <w:rPr>
        <w:sz w:val="20"/>
      </w:rPr>
      <w:t>共</w:t>
    </w:r>
    <w:r>
      <w:rPr>
        <w:sz w:val="20"/>
      </w:rPr>
      <w:fldChar w:fldCharType="begin"/>
    </w:r>
    <w:r>
      <w:rPr>
        <w:sz w:val="20"/>
      </w:rPr>
      <w:instrText xml:space="preserve"> NUMPAGES </w:instrText>
    </w:r>
    <w:r>
      <w:rPr>
        <w:sz w:val="20"/>
      </w:rPr>
      <w:fldChar w:fldCharType="separate"/>
    </w:r>
    <w:r w:rsidR="00196F7F">
      <w:rPr>
        <w:noProof/>
        <w:sz w:val="20"/>
      </w:rPr>
      <w:t>13</w:t>
    </w:r>
    <w:r>
      <w:rPr>
        <w:sz w:val="20"/>
      </w:rPr>
      <w:fldChar w:fldCharType="end"/>
    </w:r>
    <w:r>
      <w:rPr>
        <w:sz w:val="20"/>
      </w:rPr>
      <w:t>页</w:t>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AEA9DD" w14:textId="77777777" w:rsidR="00AB53BB" w:rsidRDefault="00AB53BB">
      <w:r>
        <w:separator/>
      </w:r>
    </w:p>
  </w:footnote>
  <w:footnote w:type="continuationSeparator" w:id="0">
    <w:p w14:paraId="3078D88A" w14:textId="77777777" w:rsidR="00AB53BB" w:rsidRDefault="00AB53B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F473A"/>
    <w:multiLevelType w:val="hybridMultilevel"/>
    <w:tmpl w:val="8312AF28"/>
    <w:lvl w:ilvl="0" w:tplc="AA18DF40">
      <w:start w:val="1"/>
      <w:numFmt w:val="bullet"/>
      <w:lvlText w:val=""/>
      <w:lvlJc w:val="left"/>
      <w:pPr>
        <w:ind w:left="420" w:hanging="420"/>
      </w:pPr>
      <w:rPr>
        <w:rFonts w:ascii="Wingdings" w:hAnsi="Wingdings" w:hint="default"/>
      </w:rPr>
    </w:lvl>
    <w:lvl w:ilvl="1" w:tplc="548CDB16" w:tentative="1">
      <w:start w:val="1"/>
      <w:numFmt w:val="bullet"/>
      <w:lvlText w:val=""/>
      <w:lvlJc w:val="left"/>
      <w:pPr>
        <w:ind w:left="840" w:hanging="420"/>
      </w:pPr>
      <w:rPr>
        <w:rFonts w:ascii="Wingdings" w:hAnsi="Wingdings" w:hint="default"/>
      </w:rPr>
    </w:lvl>
    <w:lvl w:ilvl="2" w:tplc="7F765670" w:tentative="1">
      <w:start w:val="1"/>
      <w:numFmt w:val="bullet"/>
      <w:lvlText w:val=""/>
      <w:lvlJc w:val="left"/>
      <w:pPr>
        <w:ind w:left="1260" w:hanging="420"/>
      </w:pPr>
      <w:rPr>
        <w:rFonts w:ascii="Wingdings" w:hAnsi="Wingdings" w:hint="default"/>
      </w:rPr>
    </w:lvl>
    <w:lvl w:ilvl="3" w:tplc="9028EB76" w:tentative="1">
      <w:start w:val="1"/>
      <w:numFmt w:val="bullet"/>
      <w:lvlText w:val=""/>
      <w:lvlJc w:val="left"/>
      <w:pPr>
        <w:ind w:left="1680" w:hanging="420"/>
      </w:pPr>
      <w:rPr>
        <w:rFonts w:ascii="Wingdings" w:hAnsi="Wingdings" w:hint="default"/>
      </w:rPr>
    </w:lvl>
    <w:lvl w:ilvl="4" w:tplc="A9E41428" w:tentative="1">
      <w:start w:val="1"/>
      <w:numFmt w:val="bullet"/>
      <w:lvlText w:val=""/>
      <w:lvlJc w:val="left"/>
      <w:pPr>
        <w:ind w:left="2100" w:hanging="420"/>
      </w:pPr>
      <w:rPr>
        <w:rFonts w:ascii="Wingdings" w:hAnsi="Wingdings" w:hint="default"/>
      </w:rPr>
    </w:lvl>
    <w:lvl w:ilvl="5" w:tplc="96CA6FE0" w:tentative="1">
      <w:start w:val="1"/>
      <w:numFmt w:val="bullet"/>
      <w:lvlText w:val=""/>
      <w:lvlJc w:val="left"/>
      <w:pPr>
        <w:ind w:left="2520" w:hanging="420"/>
      </w:pPr>
      <w:rPr>
        <w:rFonts w:ascii="Wingdings" w:hAnsi="Wingdings" w:hint="default"/>
      </w:rPr>
    </w:lvl>
    <w:lvl w:ilvl="6" w:tplc="790AD148" w:tentative="1">
      <w:start w:val="1"/>
      <w:numFmt w:val="bullet"/>
      <w:lvlText w:val=""/>
      <w:lvlJc w:val="left"/>
      <w:pPr>
        <w:ind w:left="2940" w:hanging="420"/>
      </w:pPr>
      <w:rPr>
        <w:rFonts w:ascii="Wingdings" w:hAnsi="Wingdings" w:hint="default"/>
      </w:rPr>
    </w:lvl>
    <w:lvl w:ilvl="7" w:tplc="6DA0228A" w:tentative="1">
      <w:start w:val="1"/>
      <w:numFmt w:val="bullet"/>
      <w:lvlText w:val=""/>
      <w:lvlJc w:val="left"/>
      <w:pPr>
        <w:ind w:left="3360" w:hanging="420"/>
      </w:pPr>
      <w:rPr>
        <w:rFonts w:ascii="Wingdings" w:hAnsi="Wingdings" w:hint="default"/>
      </w:rPr>
    </w:lvl>
    <w:lvl w:ilvl="8" w:tplc="83409C7E" w:tentative="1">
      <w:start w:val="1"/>
      <w:numFmt w:val="bullet"/>
      <w:lvlText w:val=""/>
      <w:lvlJc w:val="left"/>
      <w:pPr>
        <w:ind w:left="3780" w:hanging="420"/>
      </w:pPr>
      <w:rPr>
        <w:rFonts w:ascii="Wingdings" w:hAnsi="Wingdings" w:hint="default"/>
      </w:rPr>
    </w:lvl>
  </w:abstractNum>
  <w:num w:numId="1" w16cid:durableId="15661813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DisplayPageBoundaries/>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7DF2"/>
    <w:rsid w:val="00005EBC"/>
    <w:rsid w:val="00016BFA"/>
    <w:rsid w:val="000460FF"/>
    <w:rsid w:val="00054E7B"/>
    <w:rsid w:val="000E18B2"/>
    <w:rsid w:val="000E4D02"/>
    <w:rsid w:val="00171458"/>
    <w:rsid w:val="00173C1D"/>
    <w:rsid w:val="001764C3"/>
    <w:rsid w:val="0018010E"/>
    <w:rsid w:val="00191C29"/>
    <w:rsid w:val="00196F7F"/>
    <w:rsid w:val="001C63DA"/>
    <w:rsid w:val="001C7B51"/>
    <w:rsid w:val="001D4563"/>
    <w:rsid w:val="00201A7E"/>
    <w:rsid w:val="00221FC9"/>
    <w:rsid w:val="002457C2"/>
    <w:rsid w:val="002908F0"/>
    <w:rsid w:val="002A0E5D"/>
    <w:rsid w:val="002A1A21"/>
    <w:rsid w:val="002E096A"/>
    <w:rsid w:val="002F06B2"/>
    <w:rsid w:val="003102DB"/>
    <w:rsid w:val="003526A6"/>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849EE"/>
    <w:rsid w:val="006B21A4"/>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405DB"/>
    <w:rsid w:val="00A536B0"/>
    <w:rsid w:val="00AB53BB"/>
    <w:rsid w:val="00AD6B6A"/>
    <w:rsid w:val="00B80D67"/>
    <w:rsid w:val="00B8100F"/>
    <w:rsid w:val="00B96924"/>
    <w:rsid w:val="00BA1A7E"/>
    <w:rsid w:val="00BB50C6"/>
    <w:rsid w:val="00BE1BCD"/>
    <w:rsid w:val="00C02815"/>
    <w:rsid w:val="00C02FC6"/>
    <w:rsid w:val="00C321EB"/>
    <w:rsid w:val="00CA4A07"/>
    <w:rsid w:val="00D51257"/>
    <w:rsid w:val="00D559D3"/>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A6C51"/>
    <w:rsid w:val="00FB34D2"/>
    <w:rsid w:val="00FB4B17"/>
    <w:rsid w:val="00FC5860"/>
    <w:rsid w:val="00FD377B"/>
    <w:rsid w:val="00FF2D79"/>
    <w:rsid w:val="00FF517A"/>
    <w:rsid w:val="382745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BB9613B"/>
  <w15:chartTrackingRefBased/>
  <w15:docId w15:val="{3CECF8F8-7687-46A9-88C3-C9E50DFD79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SimSun"/>
        <w:sz w:val="23"/>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Default Paragraph Font" w:semiHidden="1"/>
    <w:lsdException w:name="Subtitle" w:qFormat="1"/>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HTML Preformatted" w:semiHidden="1"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paragraph" w:styleId="Footer">
    <w:name w:val="footer"/>
    <w:basedOn w:val="Normal"/>
    <w:pPr>
      <w:tabs>
        <w:tab w:val="center" w:pos="4153"/>
        <w:tab w:val="right" w:pos="8306"/>
      </w:tabs>
      <w:snapToGrid w:val="0"/>
      <w:jc w:val="left"/>
    </w:pPr>
    <w:rPr>
      <w:sz w:val="18"/>
    </w:rPr>
  </w:style>
  <w:style w:type="character" w:customStyle="1" w:styleId="HeaderChar">
    <w:name w:val="Header Char"/>
    <w:basedOn w:val="DefaultParagraphFont"/>
    <w:link w:val="Header"/>
    <w:uiPriority w:val="99"/>
    <w:rsid w:val="003102DB"/>
    <w:rPr>
      <w:kern w:val="2"/>
      <w:sz w:val="18"/>
      <w:szCs w:val="24"/>
    </w:rPr>
  </w:style>
  <w:style w:type="paragraph" w:styleId="NoSpacing">
    <w:name w:val="No Spacing"/>
    <w:uiPriority w:val="1"/>
    <w:qFormat/>
    <w:rsid w:val="003102DB"/>
    <w:rPr>
      <w:rFonts w:asciiTheme="minorHAnsi" w:eastAsia="Microsoft YaHei UI" w:hAnsiTheme="minorHAnsi" w:cstheme="minorBidi"/>
      <w:sz w:val="22"/>
      <w:szCs w:val="22"/>
    </w:rPr>
  </w:style>
  <w:style w:type="character" w:styleId="Hyperlink">
    <w:name w:val="Hyperlink"/>
    <w:basedOn w:val="DefaultParagraphFont"/>
    <w:uiPriority w:val="99"/>
    <w:unhideWhenUsed/>
    <w:rsid w:val="00596076"/>
    <w:rPr>
      <w:color w:val="0000FF"/>
      <w:u w:val="single"/>
    </w:rPr>
  </w:style>
  <w:style w:type="paragraph" w:styleId="ListParagraph">
    <w:name w:val="List Paragraph"/>
    <w:basedOn w:val="Normal"/>
    <w:uiPriority w:val="99"/>
    <w:qFormat/>
    <w:rsid w:val="00EA018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pixelsPerInch w:val="144"/>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596</Words>
  <Characters>3401</Characters>
  <Application>Microsoft Office Word</Application>
  <DocSecurity>0</DocSecurity>
  <Lines>28</Lines>
  <Paragraphs>7</Paragraphs>
  <ScaleCrop>false</ScaleCrop>
  <Manager>康伟旗舰店 kangwei.tmall.com</Manager>
  <Company>康伟旗舰店 kangwei.tmall.com</Company>
  <LinksUpToDate>false</LinksUpToDate>
  <CharactersWithSpaces>3990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康伟旗舰店 kangwei.tmall.com</dc:title>
  <dc:subject>康伟旗舰店 kangwei.tmall.com</dc:subject>
  <dc:creator>康伟旗舰店 kangwei.tmall.com</dc:creator>
  <cp:keywords>康伟旗舰店 kangwei.tmall.com</cp:keywords>
  <dc:description>康伟旗舰店 kangwei.tmall.com</dc:description>
  <cp:lastModifiedBy>666 666</cp:lastModifiedBy>
  <cp:revision>2</cp:revision>
  <dcterms:created xsi:type="dcterms:W3CDTF">2026-10-01T02:08:00Z</dcterms:created>
  <dcterms:modified xsi:type="dcterms:W3CDTF">2026-10-01T02:08:00Z</dcterms:modified>
  <cp:category>康伟旗舰店 kangwei.tmall.com</cp:category>
</cp:coreProperties>
</file>