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7AB02" w14:textId="26B27075" w:rsidR="00C76FEC" w:rsidRDefault="00000000">
      <w:pPr>
        <w:spacing w:line="285" w:lineRule="auto"/>
        <w:jc w:val="center"/>
        <w:textAlignment w:val="center"/>
        <w:rPr>
          <w:rFonts w:ascii="SimSun" w:hAnsi="SimSun"/>
          <w:b/>
          <w:sz w:val="32"/>
        </w:rPr>
      </w:pPr>
      <w:r>
        <w:rPr>
          <w:rFonts w:ascii="SimSun" w:hAnsi="SimSun"/>
          <w:b/>
          <w:noProof/>
          <w:sz w:val="32"/>
        </w:rPr>
        <w:drawing>
          <wp:anchor distT="0" distB="0" distL="114300" distR="114300" simplePos="0" relativeHeight="251658240" behindDoc="0" locked="0" layoutInCell="1" allowOverlap="1" wp14:anchorId="1FF7BF51" wp14:editId="7E7356BF">
            <wp:simplePos x="0" y="0"/>
            <wp:positionH relativeFrom="page">
              <wp:posOffset>10528300</wp:posOffset>
            </wp:positionH>
            <wp:positionV relativeFrom="topMargin">
              <wp:posOffset>12522200</wp:posOffset>
            </wp:positionV>
            <wp:extent cx="406400" cy="25400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
                    <a:stretch>
                      <a:fillRect/>
                    </a:stretch>
                  </pic:blipFill>
                  <pic:spPr>
                    <a:xfrm>
                      <a:off x="0" y="0"/>
                      <a:ext cx="406400" cy="254000"/>
                    </a:xfrm>
                    <a:prstGeom prst="rect">
                      <a:avLst/>
                    </a:prstGeom>
                  </pic:spPr>
                </pic:pic>
              </a:graphicData>
            </a:graphic>
          </wp:anchor>
        </w:drawing>
      </w:r>
      <w:r w:rsidR="00C4386C">
        <w:rPr>
          <w:rFonts w:eastAsia="Times New Roman" w:cs="Times New Roman"/>
          <w:b/>
          <w:sz w:val="32"/>
        </w:rPr>
        <w:t xml:space="preserve"> </w:t>
      </w:r>
      <w:r>
        <w:rPr>
          <w:rFonts w:eastAsia="Times New Roman" w:cs="Times New Roman"/>
          <w:b/>
          <w:sz w:val="32"/>
        </w:rPr>
        <w:t>2022</w:t>
      </w:r>
      <w:r w:rsidR="008E6726">
        <w:rPr>
          <w:rFonts w:ascii="SimSun" w:hAnsi="SimSun" w:hint="eastAsia"/>
          <w:b/>
          <w:sz w:val="32"/>
        </w:rPr>
        <w:t>全国乙卷</w:t>
      </w:r>
    </w:p>
    <w:p w14:paraId="245D23F5" w14:textId="77777777" w:rsidR="008E6726" w:rsidRDefault="008E6726">
      <w:pPr>
        <w:spacing w:line="285" w:lineRule="auto"/>
        <w:jc w:val="center"/>
        <w:textAlignment w:val="center"/>
        <w:rPr>
          <w:rFonts w:ascii="SimSun" w:hAnsi="SimSun"/>
          <w:b/>
          <w:sz w:val="32"/>
        </w:rPr>
      </w:pPr>
    </w:p>
    <w:p w14:paraId="3FD47133" w14:textId="77777777" w:rsidR="008E6726" w:rsidRDefault="008E6726">
      <w:pPr>
        <w:spacing w:line="285" w:lineRule="auto"/>
        <w:jc w:val="center"/>
        <w:textAlignment w:val="center"/>
        <w:rPr>
          <w:rFonts w:ascii="SimSun" w:hAnsi="SimSun"/>
          <w:b/>
          <w:sz w:val="32"/>
        </w:rPr>
      </w:pPr>
    </w:p>
    <w:p w14:paraId="3FD96E10" w14:textId="77777777" w:rsidR="008E6726" w:rsidRDefault="008E6726">
      <w:pPr>
        <w:spacing w:line="285" w:lineRule="auto"/>
        <w:jc w:val="center"/>
        <w:textAlignment w:val="center"/>
        <w:rPr>
          <w:rFonts w:ascii="SimSun" w:hAnsi="SimSun"/>
          <w:b/>
          <w:sz w:val="32"/>
        </w:rPr>
      </w:pPr>
    </w:p>
    <w:p w14:paraId="5C3F7BB1" w14:textId="5407872B" w:rsidR="00C76FEC" w:rsidRDefault="00000000">
      <w:pPr>
        <w:spacing w:line="285" w:lineRule="auto"/>
        <w:jc w:val="center"/>
        <w:textAlignment w:val="center"/>
        <w:rPr>
          <w:rFonts w:eastAsia="Times New Roman" w:cs="Times New Roman"/>
          <w:b/>
          <w:color w:val="000000"/>
          <w:sz w:val="24"/>
        </w:rPr>
      </w:pPr>
      <w:r>
        <w:rPr>
          <w:rFonts w:eastAsia="Times New Roman" w:cs="Times New Roman"/>
          <w:b/>
          <w:color w:val="000000"/>
          <w:sz w:val="24"/>
        </w:rPr>
        <w:t>C</w:t>
      </w:r>
    </w:p>
    <w:p w14:paraId="0A790CBF" w14:textId="77777777" w:rsidR="00C76FEC" w:rsidRDefault="00000000">
      <w:pPr>
        <w:spacing w:line="360" w:lineRule="auto"/>
        <w:ind w:firstLine="420"/>
        <w:jc w:val="left"/>
        <w:textAlignment w:val="center"/>
        <w:rPr>
          <w:color w:val="000000"/>
        </w:rPr>
      </w:pPr>
      <w:r>
        <w:rPr>
          <w:rFonts w:eastAsia="Times New Roman" w:cs="Times New Roman"/>
          <w:color w:val="000000"/>
        </w:rPr>
        <w:t>Can a small group of dr</w:t>
      </w:r>
      <w:r>
        <w:rPr>
          <w:color w:val="000000"/>
        </w:rPr>
        <w:t>ones (</w:t>
      </w:r>
      <w:r>
        <w:rPr>
          <w:color w:val="000000"/>
        </w:rPr>
        <w:t>无人机</w:t>
      </w:r>
      <w:r>
        <w:rPr>
          <w:color w:val="000000"/>
        </w:rPr>
        <w:t xml:space="preserve">) guarantee the safety and reliability of railways and, at the same time, help railway operators save billions of euros each year? That is the very likely future of applying today’s “eyes in the sky” technology to making sure that the millions of </w:t>
      </w:r>
      <w:proofErr w:type="spellStart"/>
      <w:r>
        <w:rPr>
          <w:color w:val="000000"/>
        </w:rPr>
        <w:t>kilometres</w:t>
      </w:r>
      <w:proofErr w:type="spellEnd"/>
      <w:r>
        <w:rPr>
          <w:color w:val="000000"/>
        </w:rPr>
        <w:t xml:space="preserve"> of rail tracks and infrastructure (</w:t>
      </w:r>
      <w:r>
        <w:rPr>
          <w:color w:val="000000"/>
        </w:rPr>
        <w:t>基础设施</w:t>
      </w:r>
      <w:r>
        <w:rPr>
          <w:color w:val="000000"/>
        </w:rPr>
        <w:t xml:space="preserve">) worldwide are safe for trains on a 24/7 basis. </w:t>
      </w:r>
    </w:p>
    <w:p w14:paraId="60EAADE3" w14:textId="77777777" w:rsidR="00C76FEC" w:rsidRDefault="00000000">
      <w:pPr>
        <w:spacing w:line="360" w:lineRule="auto"/>
        <w:ind w:firstLine="420"/>
        <w:jc w:val="left"/>
        <w:textAlignment w:val="center"/>
        <w:rPr>
          <w:rFonts w:eastAsia="Times New Roman" w:cs="Times New Roman"/>
          <w:color w:val="000000"/>
        </w:rPr>
      </w:pPr>
      <w:r>
        <w:rPr>
          <w:color w:val="000000"/>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 (</w:t>
      </w:r>
      <w:r>
        <w:rPr>
          <w:color w:val="000000"/>
        </w:rPr>
        <w:t>高效</w:t>
      </w:r>
      <w:r>
        <w:rPr>
          <w:color w:val="000000"/>
        </w:rPr>
        <w:t>) across the board.</w:t>
      </w:r>
      <w:r>
        <w:rPr>
          <w:rFonts w:eastAsia="Times New Roman" w:cs="Times New Roman"/>
          <w:color w:val="000000"/>
        </w:rPr>
        <w:t xml:space="preserve"> </w:t>
      </w:r>
    </w:p>
    <w:p w14:paraId="261DC7A4"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That includes huge savings in </w:t>
      </w:r>
      <w:r>
        <w:rPr>
          <w:rFonts w:eastAsia="Times New Roman" w:cs="Times New Roman"/>
          <w:color w:val="000000"/>
          <w:u w:val="single"/>
        </w:rPr>
        <w:t>maintenance</w:t>
      </w:r>
      <w:r>
        <w:rPr>
          <w:rFonts w:eastAsia="Times New Roman" w:cs="Times New Roman"/>
          <w:color w:val="000000"/>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5F80A0D0"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6CFCD914" w14:textId="77777777" w:rsidR="008E6726" w:rsidRDefault="008E6726">
      <w:pPr>
        <w:spacing w:line="285" w:lineRule="auto"/>
        <w:jc w:val="center"/>
        <w:textAlignment w:val="center"/>
        <w:rPr>
          <w:rFonts w:eastAsiaTheme="minorEastAsia" w:cs="Times New Roman"/>
          <w:color w:val="000000"/>
        </w:rPr>
      </w:pPr>
    </w:p>
    <w:p w14:paraId="74366057" w14:textId="77777777" w:rsidR="008E6726" w:rsidRDefault="008E6726">
      <w:pPr>
        <w:spacing w:line="285" w:lineRule="auto"/>
        <w:jc w:val="center"/>
        <w:textAlignment w:val="center"/>
        <w:rPr>
          <w:rFonts w:eastAsiaTheme="minorEastAsia" w:cs="Times New Roman"/>
          <w:color w:val="000000"/>
        </w:rPr>
      </w:pPr>
    </w:p>
    <w:p w14:paraId="52693476" w14:textId="77777777" w:rsidR="008E6726" w:rsidRDefault="008E6726">
      <w:pPr>
        <w:spacing w:line="285" w:lineRule="auto"/>
        <w:jc w:val="center"/>
        <w:textAlignment w:val="center"/>
        <w:rPr>
          <w:rFonts w:eastAsiaTheme="minorEastAsia" w:cs="Times New Roman"/>
          <w:color w:val="000000"/>
        </w:rPr>
      </w:pPr>
    </w:p>
    <w:p w14:paraId="2D30221A" w14:textId="77777777" w:rsidR="008E6726" w:rsidRDefault="008E6726">
      <w:pPr>
        <w:spacing w:line="285" w:lineRule="auto"/>
        <w:jc w:val="center"/>
        <w:textAlignment w:val="center"/>
        <w:rPr>
          <w:rFonts w:eastAsiaTheme="minorEastAsia" w:cs="Times New Roman"/>
          <w:color w:val="000000"/>
        </w:rPr>
      </w:pPr>
    </w:p>
    <w:p w14:paraId="4E6EB710" w14:textId="77777777" w:rsidR="008E6726" w:rsidRDefault="008E6726">
      <w:pPr>
        <w:spacing w:line="285" w:lineRule="auto"/>
        <w:jc w:val="center"/>
        <w:textAlignment w:val="center"/>
        <w:rPr>
          <w:rFonts w:eastAsiaTheme="minorEastAsia" w:cs="Times New Roman"/>
          <w:color w:val="000000"/>
        </w:rPr>
      </w:pPr>
    </w:p>
    <w:p w14:paraId="0D63123B" w14:textId="77777777" w:rsidR="008E6726" w:rsidRDefault="008E6726">
      <w:pPr>
        <w:spacing w:line="285" w:lineRule="auto"/>
        <w:jc w:val="center"/>
        <w:textAlignment w:val="center"/>
        <w:rPr>
          <w:rFonts w:eastAsiaTheme="minorEastAsia" w:cs="Times New Roman"/>
          <w:color w:val="000000"/>
        </w:rPr>
      </w:pPr>
    </w:p>
    <w:p w14:paraId="3CAE3C7E" w14:textId="77777777" w:rsidR="008E6726" w:rsidRDefault="008E6726">
      <w:pPr>
        <w:spacing w:line="285" w:lineRule="auto"/>
        <w:jc w:val="center"/>
        <w:textAlignment w:val="center"/>
        <w:rPr>
          <w:rFonts w:eastAsiaTheme="minorEastAsia" w:cs="Times New Roman"/>
          <w:color w:val="000000"/>
        </w:rPr>
      </w:pPr>
    </w:p>
    <w:p w14:paraId="37DC7451" w14:textId="77777777" w:rsidR="008E6726" w:rsidRDefault="008E6726">
      <w:pPr>
        <w:spacing w:line="285" w:lineRule="auto"/>
        <w:jc w:val="center"/>
        <w:textAlignment w:val="center"/>
        <w:rPr>
          <w:rFonts w:eastAsiaTheme="minorEastAsia" w:cs="Times New Roman"/>
          <w:color w:val="000000"/>
        </w:rPr>
      </w:pPr>
    </w:p>
    <w:p w14:paraId="0744B21D" w14:textId="03539088" w:rsidR="00C76FEC" w:rsidRDefault="00000000">
      <w:pPr>
        <w:spacing w:line="285" w:lineRule="auto"/>
        <w:jc w:val="center"/>
        <w:textAlignment w:val="center"/>
        <w:rPr>
          <w:rFonts w:eastAsia="Times New Roman" w:cs="Times New Roman"/>
          <w:b/>
          <w:color w:val="000000"/>
          <w:sz w:val="24"/>
        </w:rPr>
      </w:pPr>
      <w:r>
        <w:rPr>
          <w:rFonts w:eastAsia="Times New Roman" w:cs="Times New Roman"/>
          <w:b/>
          <w:color w:val="000000"/>
          <w:sz w:val="24"/>
        </w:rPr>
        <w:t>D</w:t>
      </w:r>
    </w:p>
    <w:p w14:paraId="7171B170"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Government’s sugar tax on soft drinks has brought in half as much money as Ministers first predicted it would generate, the first official data on the policy has shown. </w:t>
      </w:r>
    </w:p>
    <w:p w14:paraId="31B10AA7"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lastRenderedPageBreak/>
        <w:t>First announced in April, 2016, the tax which applies to soft drinks containing more than 5g of sugar per 100ml, was introduced to help reduce childhood obesity (</w:t>
      </w:r>
      <w:r>
        <w:rPr>
          <w:rFonts w:ascii="SimSun" w:hAnsi="SimSun"/>
          <w:color w:val="000000"/>
        </w:rPr>
        <w:t>肥胖</w:t>
      </w:r>
      <w:r>
        <w:rPr>
          <w:rFonts w:eastAsia="Times New Roman" w:cs="Times New Roman"/>
          <w:color w:val="000000"/>
        </w:rPr>
        <w:t>). It is believed that today’s children and teenagers are consuming three times the recommended level of sugar, putting them at a higher risk of the disease.</w:t>
      </w:r>
    </w:p>
    <w:p w14:paraId="6FF270F9"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Initially the sugar tax was expected to make £520m a year for the Treasury. However, data of the first six months showed it would make less than half this amount. At present it is expected to generate £240m for the year ending in April 2019, which will go to school sports.</w:t>
      </w:r>
    </w:p>
    <w:p w14:paraId="42E4E529"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It comes after more than half of soft drinks sold in shops have had their sugar levels cut by manufacturers (</w:t>
      </w:r>
      <w:r>
        <w:rPr>
          <w:rFonts w:ascii="SimSun" w:hAnsi="SimSun"/>
          <w:color w:val="000000"/>
        </w:rPr>
        <w:t>制造商</w:t>
      </w:r>
      <w:r>
        <w:rPr>
          <w:rFonts w:eastAsia="Times New Roman" w:cs="Times New Roman"/>
          <w:color w:val="000000"/>
        </w:rPr>
        <w:t xml:space="preserve">) so they can avoid paying the tax. Drinks now contain 45 million fewer kilos of sugar as a result of manufacturers’ efforts to avoid the charge, according to Treasury figures. Since April drinks companies have been forced to pay between 18p and 24p for every </w:t>
      </w:r>
      <w:proofErr w:type="spellStart"/>
      <w:r>
        <w:rPr>
          <w:rFonts w:eastAsia="Times New Roman" w:cs="Times New Roman"/>
          <w:color w:val="000000"/>
        </w:rPr>
        <w:t>litre</w:t>
      </w:r>
      <w:proofErr w:type="spellEnd"/>
      <w:r>
        <w:rPr>
          <w:rFonts w:eastAsia="Times New Roman" w:cs="Times New Roman"/>
          <w:color w:val="000000"/>
        </w:rPr>
        <w:t xml:space="preserve"> of sugary drink they produce or import, depending on the sugar content. </w:t>
      </w:r>
    </w:p>
    <w:p w14:paraId="62383487"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w:t>
      </w:r>
      <w:proofErr w:type="spellStart"/>
      <w:r>
        <w:rPr>
          <w:rFonts w:eastAsia="Times New Roman" w:cs="Times New Roman"/>
          <w:color w:val="000000"/>
        </w:rPr>
        <w:t>litres</w:t>
      </w:r>
      <w:proofErr w:type="spellEnd"/>
      <w:r>
        <w:rPr>
          <w:rFonts w:eastAsia="Times New Roman" w:cs="Times New Roman"/>
          <w:color w:val="000000"/>
        </w:rPr>
        <w:t xml:space="preserve"> per year. </w:t>
      </w:r>
    </w:p>
    <w:p w14:paraId="214408B2" w14:textId="77777777" w:rsidR="00C76FEC"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Today’s figures, according to one government official, show the positive influence the sugar tax is having by raising millions of pounds for sports facilities (</w:t>
      </w:r>
      <w:r>
        <w:rPr>
          <w:rFonts w:ascii="SimSun" w:hAnsi="SimSun"/>
          <w:color w:val="000000"/>
        </w:rPr>
        <w:t>设施</w:t>
      </w:r>
      <w:r>
        <w:rPr>
          <w:rFonts w:eastAsia="Times New Roman" w:cs="Times New Roman"/>
          <w:color w:val="000000"/>
        </w:rPr>
        <w:t xml:space="preserve">) and healthier eating in schools. Helping the next generation to have a healthy and active childhood is of great importance, and the industry is playing its part. </w:t>
      </w:r>
    </w:p>
    <w:p w14:paraId="422EFEF4" w14:textId="77777777" w:rsidR="00C76FEC" w:rsidRDefault="00C76FEC">
      <w:pPr>
        <w:rPr>
          <w:rFonts w:eastAsiaTheme="minorEastAsia" w:cs="Times New Roman"/>
          <w:color w:val="000000"/>
        </w:rPr>
      </w:pPr>
    </w:p>
    <w:p w14:paraId="056CC616" w14:textId="77777777" w:rsidR="008E6726" w:rsidRDefault="008E6726">
      <w:pPr>
        <w:rPr>
          <w:rFonts w:eastAsiaTheme="minorEastAsia" w:cs="Times New Roman"/>
          <w:color w:val="000000"/>
        </w:rPr>
      </w:pPr>
    </w:p>
    <w:p w14:paraId="18E55736" w14:textId="77777777" w:rsidR="008E6726" w:rsidRDefault="008E6726">
      <w:pPr>
        <w:rPr>
          <w:rFonts w:eastAsiaTheme="minorEastAsia" w:cs="Times New Roman"/>
          <w:color w:val="000000"/>
        </w:rPr>
      </w:pPr>
    </w:p>
    <w:p w14:paraId="4E659462" w14:textId="77777777" w:rsidR="008E6726" w:rsidRDefault="008E6726">
      <w:pPr>
        <w:rPr>
          <w:rFonts w:eastAsiaTheme="minorEastAsia" w:cs="Times New Roman"/>
          <w:color w:val="000000"/>
        </w:rPr>
      </w:pPr>
    </w:p>
    <w:p w14:paraId="0082B05C" w14:textId="77777777" w:rsidR="008E6726" w:rsidRDefault="008E6726">
      <w:pPr>
        <w:rPr>
          <w:rFonts w:eastAsiaTheme="minorEastAsia" w:cs="Times New Roman"/>
          <w:color w:val="000000"/>
        </w:rPr>
      </w:pPr>
    </w:p>
    <w:p w14:paraId="13893354" w14:textId="77777777" w:rsidR="008E6726" w:rsidRDefault="008E6726">
      <w:pPr>
        <w:rPr>
          <w:rFonts w:eastAsiaTheme="minorEastAsia" w:cs="Times New Roman"/>
          <w:color w:val="000000"/>
        </w:rPr>
      </w:pPr>
    </w:p>
    <w:p w14:paraId="62942223" w14:textId="77777777" w:rsidR="008E6726" w:rsidRPr="008E6726" w:rsidRDefault="008E6726">
      <w:pPr>
        <w:rPr>
          <w:rFonts w:eastAsiaTheme="minorEastAsia" w:hint="eastAsia"/>
        </w:rPr>
      </w:pPr>
    </w:p>
    <w:sectPr w:rsidR="008E6726" w:rsidRPr="008E6726">
      <w:footerReference w:type="default" r:id="rId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695B6" w14:textId="77777777" w:rsidR="00C201C3" w:rsidRDefault="00C201C3">
      <w:r>
        <w:separator/>
      </w:r>
    </w:p>
  </w:endnote>
  <w:endnote w:type="continuationSeparator" w:id="0">
    <w:p w14:paraId="61E477C0" w14:textId="77777777" w:rsidR="00C201C3" w:rsidRDefault="00C2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A88E" w14:textId="1FAD9D46" w:rsidR="00AA7B3C"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8E6726">
      <w:rPr>
        <w:noProof/>
        <w:sz w:val="20"/>
      </w:rPr>
      <w:t>11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8E6726">
      <w:rPr>
        <w:noProof/>
        <w:sz w:val="20"/>
      </w:rPr>
      <w:t>11</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8EFC8" w14:textId="77777777" w:rsidR="00C201C3" w:rsidRDefault="00C201C3">
      <w:r>
        <w:separator/>
      </w:r>
    </w:p>
  </w:footnote>
  <w:footnote w:type="continuationSeparator" w:id="0">
    <w:p w14:paraId="68E9DCB1" w14:textId="77777777" w:rsidR="00C201C3" w:rsidRDefault="00C20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12545DC4">
      <w:start w:val="1"/>
      <w:numFmt w:val="bullet"/>
      <w:lvlText w:val=""/>
      <w:lvlJc w:val="left"/>
      <w:pPr>
        <w:ind w:left="420" w:hanging="420"/>
      </w:pPr>
      <w:rPr>
        <w:rFonts w:ascii="Wingdings" w:hAnsi="Wingdings" w:hint="default"/>
      </w:rPr>
    </w:lvl>
    <w:lvl w:ilvl="1" w:tplc="AED0E59A" w:tentative="1">
      <w:start w:val="1"/>
      <w:numFmt w:val="bullet"/>
      <w:lvlText w:val=""/>
      <w:lvlJc w:val="left"/>
      <w:pPr>
        <w:ind w:left="840" w:hanging="420"/>
      </w:pPr>
      <w:rPr>
        <w:rFonts w:ascii="Wingdings" w:hAnsi="Wingdings" w:hint="default"/>
      </w:rPr>
    </w:lvl>
    <w:lvl w:ilvl="2" w:tplc="F6000C5E" w:tentative="1">
      <w:start w:val="1"/>
      <w:numFmt w:val="bullet"/>
      <w:lvlText w:val=""/>
      <w:lvlJc w:val="left"/>
      <w:pPr>
        <w:ind w:left="1260" w:hanging="420"/>
      </w:pPr>
      <w:rPr>
        <w:rFonts w:ascii="Wingdings" w:hAnsi="Wingdings" w:hint="default"/>
      </w:rPr>
    </w:lvl>
    <w:lvl w:ilvl="3" w:tplc="AD787F98" w:tentative="1">
      <w:start w:val="1"/>
      <w:numFmt w:val="bullet"/>
      <w:lvlText w:val=""/>
      <w:lvlJc w:val="left"/>
      <w:pPr>
        <w:ind w:left="1680" w:hanging="420"/>
      </w:pPr>
      <w:rPr>
        <w:rFonts w:ascii="Wingdings" w:hAnsi="Wingdings" w:hint="default"/>
      </w:rPr>
    </w:lvl>
    <w:lvl w:ilvl="4" w:tplc="481498DC" w:tentative="1">
      <w:start w:val="1"/>
      <w:numFmt w:val="bullet"/>
      <w:lvlText w:val=""/>
      <w:lvlJc w:val="left"/>
      <w:pPr>
        <w:ind w:left="2100" w:hanging="420"/>
      </w:pPr>
      <w:rPr>
        <w:rFonts w:ascii="Wingdings" w:hAnsi="Wingdings" w:hint="default"/>
      </w:rPr>
    </w:lvl>
    <w:lvl w:ilvl="5" w:tplc="ADB228CA" w:tentative="1">
      <w:start w:val="1"/>
      <w:numFmt w:val="bullet"/>
      <w:lvlText w:val=""/>
      <w:lvlJc w:val="left"/>
      <w:pPr>
        <w:ind w:left="2520" w:hanging="420"/>
      </w:pPr>
      <w:rPr>
        <w:rFonts w:ascii="Wingdings" w:hAnsi="Wingdings" w:hint="default"/>
      </w:rPr>
    </w:lvl>
    <w:lvl w:ilvl="6" w:tplc="46F0BE40" w:tentative="1">
      <w:start w:val="1"/>
      <w:numFmt w:val="bullet"/>
      <w:lvlText w:val=""/>
      <w:lvlJc w:val="left"/>
      <w:pPr>
        <w:ind w:left="2940" w:hanging="420"/>
      </w:pPr>
      <w:rPr>
        <w:rFonts w:ascii="Wingdings" w:hAnsi="Wingdings" w:hint="default"/>
      </w:rPr>
    </w:lvl>
    <w:lvl w:ilvl="7" w:tplc="3998F432" w:tentative="1">
      <w:start w:val="1"/>
      <w:numFmt w:val="bullet"/>
      <w:lvlText w:val=""/>
      <w:lvlJc w:val="left"/>
      <w:pPr>
        <w:ind w:left="3360" w:hanging="420"/>
      </w:pPr>
      <w:rPr>
        <w:rFonts w:ascii="Wingdings" w:hAnsi="Wingdings" w:hint="default"/>
      </w:rPr>
    </w:lvl>
    <w:lvl w:ilvl="8" w:tplc="CDA602D8" w:tentative="1">
      <w:start w:val="1"/>
      <w:numFmt w:val="bullet"/>
      <w:lvlText w:val=""/>
      <w:lvlJc w:val="left"/>
      <w:pPr>
        <w:ind w:left="3780" w:hanging="420"/>
      </w:pPr>
      <w:rPr>
        <w:rFonts w:ascii="Wingdings" w:hAnsi="Wingdings" w:hint="default"/>
      </w:rPr>
    </w:lvl>
  </w:abstractNum>
  <w:num w:numId="1" w16cid:durableId="2295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56AD8"/>
    <w:rsid w:val="00664A1C"/>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E6726"/>
    <w:rsid w:val="00974E0F"/>
    <w:rsid w:val="00982128"/>
    <w:rsid w:val="009A27BF"/>
    <w:rsid w:val="009B5666"/>
    <w:rsid w:val="009C4252"/>
    <w:rsid w:val="009E203F"/>
    <w:rsid w:val="00A07DF2"/>
    <w:rsid w:val="00A405DB"/>
    <w:rsid w:val="00A536B0"/>
    <w:rsid w:val="00AA7B3C"/>
    <w:rsid w:val="00AD6B6A"/>
    <w:rsid w:val="00B80D67"/>
    <w:rsid w:val="00B8100F"/>
    <w:rsid w:val="00B96924"/>
    <w:rsid w:val="00BA1A7E"/>
    <w:rsid w:val="00BB50C6"/>
    <w:rsid w:val="00BE1BCD"/>
    <w:rsid w:val="00C02815"/>
    <w:rsid w:val="00C02FC6"/>
    <w:rsid w:val="00C201C3"/>
    <w:rsid w:val="00C321EB"/>
    <w:rsid w:val="00C4386C"/>
    <w:rsid w:val="00C76FEC"/>
    <w:rsid w:val="00CA4A07"/>
    <w:rsid w:val="00CE0230"/>
    <w:rsid w:val="00D51257"/>
    <w:rsid w:val="00D634C2"/>
    <w:rsid w:val="00D756B6"/>
    <w:rsid w:val="00D77F6E"/>
    <w:rsid w:val="00DA0796"/>
    <w:rsid w:val="00DA5448"/>
    <w:rsid w:val="00DD3C49"/>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C6C9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1CA09"/>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DB48E-3C70-4C35-A593-D1493778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3206</Characters>
  <Application>Microsoft Office Word</Application>
  <DocSecurity>0</DocSecurity>
  <Lines>26</Lines>
  <Paragraphs>7</Paragraphs>
  <ScaleCrop>false</ScaleCrop>
  <Manager>康伟旗舰店 kangwei.tmall.com</Manager>
  <Company>康伟旗舰店 kangwei.tmall.com</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2026-10-01T02:10:00Z</dcterms:created>
  <dcterms:modified xsi:type="dcterms:W3CDTF">2026-10-01T02:11:00Z</dcterms:modified>
  <cp:category>康伟旗舰店 kangwei.tmall.com</cp:category>
</cp:coreProperties>
</file>